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A6275D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февраль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1A4F7F" w:rsidRPr="001A4F7F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A6275D">
        <w:rPr>
          <w:rFonts w:ascii="Times New Roman" w:hAnsi="Times New Roman"/>
          <w:sz w:val="28"/>
          <w:szCs w:val="28"/>
        </w:rPr>
        <w:t>феврале</w:t>
      </w:r>
      <w:r w:rsidR="008220F8">
        <w:rPr>
          <w:rFonts w:ascii="Times New Roman" w:hAnsi="Times New Roman"/>
          <w:sz w:val="28"/>
          <w:szCs w:val="28"/>
        </w:rPr>
        <w:t xml:space="preserve"> </w:t>
      </w:r>
      <w:r w:rsidR="00C43346">
        <w:rPr>
          <w:rFonts w:ascii="Times New Roman" w:hAnsi="Times New Roman"/>
          <w:sz w:val="28"/>
          <w:szCs w:val="28"/>
        </w:rPr>
        <w:t>202</w:t>
      </w:r>
      <w:r w:rsidR="00AD4AAD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1A4F7F" w:rsidRPr="001A4F7F">
        <w:rPr>
          <w:rFonts w:ascii="Times New Roman" w:hAnsi="Times New Roman"/>
          <w:sz w:val="28"/>
          <w:szCs w:val="28"/>
        </w:rPr>
        <w:t xml:space="preserve">15 </w:t>
      </w:r>
      <w:r w:rsidR="00240028">
        <w:rPr>
          <w:rFonts w:ascii="Times New Roman" w:hAnsi="Times New Roman"/>
          <w:sz w:val="28"/>
          <w:szCs w:val="28"/>
        </w:rPr>
        <w:t>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1A4F7F">
        <w:rPr>
          <w:rFonts w:ascii="Times New Roman" w:hAnsi="Times New Roman"/>
          <w:sz w:val="28"/>
          <w:szCs w:val="28"/>
        </w:rPr>
        <w:t xml:space="preserve">По сравнению с январем </w:t>
      </w:r>
      <w:r w:rsidR="005135D8">
        <w:rPr>
          <w:rFonts w:ascii="Times New Roman" w:hAnsi="Times New Roman" w:cs="Times New Roman"/>
          <w:sz w:val="28"/>
          <w:szCs w:val="28"/>
        </w:rPr>
        <w:t>202</w:t>
      </w:r>
      <w:r w:rsidR="001A4F7F" w:rsidRPr="001A4F7F">
        <w:rPr>
          <w:rFonts w:ascii="Times New Roman" w:hAnsi="Times New Roman" w:cs="Times New Roman"/>
          <w:sz w:val="28"/>
          <w:szCs w:val="28"/>
        </w:rPr>
        <w:t>3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F7F">
        <w:rPr>
          <w:rFonts w:ascii="Times New Roman" w:hAnsi="Times New Roman" w:cs="Times New Roman"/>
          <w:sz w:val="28"/>
          <w:szCs w:val="28"/>
        </w:rPr>
        <w:t xml:space="preserve"> тенденция поступлений обращений сохранилась</w:t>
      </w:r>
      <w:r w:rsidR="00503EC4">
        <w:rPr>
          <w:rFonts w:ascii="Times New Roman" w:hAnsi="Times New Roman" w:cs="Times New Roman"/>
          <w:sz w:val="28"/>
          <w:szCs w:val="28"/>
        </w:rPr>
        <w:t xml:space="preserve">  </w:t>
      </w:r>
      <w:r w:rsidR="001A4F7F">
        <w:rPr>
          <w:rFonts w:ascii="Times New Roman" w:hAnsi="Times New Roman" w:cs="Times New Roman"/>
          <w:sz w:val="28"/>
          <w:szCs w:val="28"/>
        </w:rPr>
        <w:br/>
      </w:r>
      <w:r w:rsidR="00503EC4">
        <w:rPr>
          <w:rFonts w:ascii="Times New Roman" w:hAnsi="Times New Roman" w:cs="Times New Roman"/>
          <w:sz w:val="28"/>
          <w:szCs w:val="28"/>
        </w:rPr>
        <w:t>(</w:t>
      </w:r>
      <w:r w:rsidR="003F6F17">
        <w:rPr>
          <w:rFonts w:ascii="Times New Roman" w:hAnsi="Times New Roman" w:cs="Times New Roman"/>
          <w:sz w:val="28"/>
          <w:szCs w:val="28"/>
        </w:rPr>
        <w:t>1</w:t>
      </w:r>
      <w:r w:rsidR="001A4F7F" w:rsidRPr="001A4F7F">
        <w:rPr>
          <w:rFonts w:ascii="Times New Roman" w:hAnsi="Times New Roman" w:cs="Times New Roman"/>
          <w:sz w:val="28"/>
          <w:szCs w:val="28"/>
        </w:rPr>
        <w:t>5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E5156E">
        <w:rPr>
          <w:rFonts w:ascii="Times New Roman" w:hAnsi="Times New Roman" w:cs="Times New Roman"/>
          <w:sz w:val="28"/>
          <w:szCs w:val="28"/>
        </w:rPr>
        <w:t>обращений)</w:t>
      </w:r>
      <w:bookmarkStart w:id="0" w:name="_GoBack"/>
      <w:bookmarkEnd w:id="0"/>
      <w:r w:rsidR="00E5156E">
        <w:rPr>
          <w:rFonts w:ascii="Times New Roman" w:hAnsi="Times New Roman" w:cs="Times New Roman"/>
          <w:sz w:val="28"/>
          <w:szCs w:val="28"/>
        </w:rPr>
        <w:t>.</w:t>
      </w:r>
      <w:r w:rsidR="00503EC4">
        <w:rPr>
          <w:rFonts w:ascii="Times New Roman" w:hAnsi="Times New Roman" w:cs="Times New Roman"/>
          <w:sz w:val="28"/>
          <w:szCs w:val="28"/>
        </w:rPr>
        <w:t xml:space="preserve"> </w:t>
      </w:r>
      <w:r w:rsidR="001A4F7F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FC3A0B">
        <w:rPr>
          <w:rFonts w:ascii="Times New Roman" w:hAnsi="Times New Roman" w:cs="Times New Roman"/>
          <w:sz w:val="28"/>
          <w:szCs w:val="28"/>
        </w:rPr>
        <w:t xml:space="preserve"> </w:t>
      </w:r>
      <w:r w:rsidR="00240028">
        <w:rPr>
          <w:rFonts w:ascii="Times New Roman" w:hAnsi="Times New Roman" w:cs="Times New Roman"/>
          <w:sz w:val="28"/>
          <w:szCs w:val="28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прошлого 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886E08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="001A4F7F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="001A4F7F" w:rsidRP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количество обращений снизилось в 1,8 раза</w:t>
      </w:r>
      <w:r w:rsidR="00886E08">
        <w:rPr>
          <w:rFonts w:ascii="Times New Roman" w:hAnsi="Times New Roman" w:cs="Times New Roman"/>
          <w:sz w:val="28"/>
          <w:szCs w:val="28"/>
        </w:rPr>
        <w:t xml:space="preserve"> (</w:t>
      </w:r>
      <w:r w:rsidR="003F6F17">
        <w:rPr>
          <w:rFonts w:ascii="Times New Roman" w:hAnsi="Times New Roman" w:cs="Times New Roman"/>
          <w:sz w:val="28"/>
          <w:szCs w:val="28"/>
        </w:rPr>
        <w:t>2</w:t>
      </w:r>
      <w:r w:rsidR="001A4F7F" w:rsidRPr="001A4F7F">
        <w:rPr>
          <w:rFonts w:ascii="Times New Roman" w:hAnsi="Times New Roman" w:cs="Times New Roman"/>
          <w:sz w:val="28"/>
          <w:szCs w:val="28"/>
        </w:rPr>
        <w:t xml:space="preserve">7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вопроса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B35CBE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B35CBE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15 вопросов или 54 процента меньше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(33)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3F6F17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</w:t>
      </w:r>
      <w:r w:rsidRP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предыдущем месяце  текущего года</w:t>
      </w:r>
      <w:r w:rsidR="001A4F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аналогичном  периоде  2022 года 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4).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</w:p>
    <w:p w:rsidR="000F43EB" w:rsidRDefault="003F6F17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</w:t>
      </w:r>
      <w:r w:rsidR="00AD4A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«электронный  почтовый  ящик»)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85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меньше, чем в аналогичном  периоде  202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335444" w:rsidRDefault="000F43EB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13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A4F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4 обращения или 67 процентов меньше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202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(6).</w:t>
      </w:r>
    </w:p>
    <w:p w:rsidR="000630CF" w:rsidRDefault="000630CF" w:rsidP="000630C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D4A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месяцем </w:t>
      </w:r>
      <w:r w:rsidR="006844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текущего года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8927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или </w:t>
      </w:r>
      <w:r w:rsidR="008927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927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меньше чем в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202</w:t>
      </w:r>
      <w:r w:rsidR="00F53C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8927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F53C86" w:rsidRDefault="00F53C86" w:rsidP="00F53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феврале 2023 года обращения граждан на «Прямую линию»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 в Администрацию  муниципального  образования  «Город Новоульяновск»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не поступали.</w:t>
      </w:r>
    </w:p>
    <w:p w:rsidR="00F53C86" w:rsidRDefault="00F53C86" w:rsidP="000630C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75"/>
        <w:gridCol w:w="216"/>
        <w:gridCol w:w="739"/>
        <w:gridCol w:w="216"/>
        <w:gridCol w:w="65"/>
        <w:gridCol w:w="890"/>
        <w:gridCol w:w="740"/>
        <w:gridCol w:w="216"/>
        <w:gridCol w:w="740"/>
        <w:gridCol w:w="216"/>
        <w:gridCol w:w="740"/>
        <w:gridCol w:w="216"/>
        <w:gridCol w:w="1567"/>
        <w:gridCol w:w="216"/>
        <w:gridCol w:w="740"/>
        <w:gridCol w:w="216"/>
        <w:gridCol w:w="740"/>
        <w:gridCol w:w="98"/>
      </w:tblGrid>
      <w:tr w:rsidR="00892750" w:rsidRPr="00892750" w:rsidTr="00892750">
        <w:trPr>
          <w:trHeight w:val="60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92750" w:rsidRPr="00892750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750" w:rsidRPr="00892750" w:rsidRDefault="00892750" w:rsidP="008927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750" w:rsidRPr="00892750" w:rsidTr="00892750">
        <w:trPr>
          <w:trHeight w:val="1125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750" w:rsidRPr="00892750" w:rsidTr="00892750">
        <w:trPr>
          <w:trHeight w:val="1125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750" w:rsidRPr="00892750" w:rsidTr="00892750">
        <w:trPr>
          <w:trHeight w:val="150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47663D4" wp14:editId="4CE0780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10160</wp:posOffset>
                  </wp:positionV>
                  <wp:extent cx="5443220" cy="2673985"/>
                  <wp:effectExtent l="0" t="0" r="24130" b="1206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750" w:rsidRPr="00892750" w:rsidTr="00892750">
        <w:trPr>
          <w:gridAfter w:val="1"/>
          <w:wAfter w:w="98" w:type="dxa"/>
          <w:trHeight w:val="6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</w:tblGrid>
            <w:tr w:rsidR="00892750" w:rsidRPr="00892750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750" w:rsidRPr="00892750" w:rsidRDefault="00892750" w:rsidP="008927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750" w:rsidRPr="00892750" w:rsidTr="00892750">
        <w:trPr>
          <w:gridAfter w:val="1"/>
          <w:wAfter w:w="98" w:type="dxa"/>
          <w:trHeight w:val="11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50" w:rsidRPr="00892750" w:rsidRDefault="00892750" w:rsidP="0089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2750" w:rsidRDefault="00892750" w:rsidP="00B35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892750" w:rsidRDefault="00892750" w:rsidP="00B35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750" w:rsidRDefault="00892750" w:rsidP="00B35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F14" w:rsidRDefault="00F53C86" w:rsidP="00B35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 xml:space="preserve"> анализируем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текущего года 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обращения граждан 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«Город  Новоульяновск» 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F53C86" w:rsidRDefault="00F53C86" w:rsidP="00F53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анализируемом периоде поступило 1 повторное обращение.</w:t>
      </w:r>
      <w:r w:rsidRPr="006607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с январём 2023 года тенденция поступления повторных обращений  сохранилась. В аналогичном  периоде  202</w:t>
      </w:r>
      <w:r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</w:t>
      </w:r>
      <w:r w:rsidR="003A01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819E2" w:rsidRDefault="0009528E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220F14">
        <w:rPr>
          <w:rFonts w:ascii="Times New Roman" w:hAnsi="Times New Roman"/>
          <w:sz w:val="28"/>
          <w:szCs w:val="28"/>
        </w:rPr>
        <w:t xml:space="preserve">феврале </w:t>
      </w:r>
      <w:r w:rsidR="006A3D90">
        <w:rPr>
          <w:rFonts w:ascii="Times New Roman" w:hAnsi="Times New Roman"/>
          <w:sz w:val="28"/>
          <w:szCs w:val="28"/>
        </w:rPr>
        <w:t xml:space="preserve"> 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A01EC">
        <w:rPr>
          <w:rFonts w:ascii="Times New Roman" w:hAnsi="Times New Roman"/>
          <w:sz w:val="28"/>
          <w:szCs w:val="28"/>
        </w:rPr>
        <w:t>3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220F14">
        <w:rPr>
          <w:rFonts w:ascii="Times New Roman" w:hAnsi="Times New Roman"/>
          <w:sz w:val="28"/>
          <w:szCs w:val="28"/>
        </w:rPr>
        <w:t>1</w:t>
      </w:r>
      <w:r w:rsidR="003A01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3A01EC">
        <w:rPr>
          <w:rFonts w:ascii="Times New Roman" w:hAnsi="Times New Roman"/>
          <w:sz w:val="28"/>
          <w:szCs w:val="28"/>
        </w:rPr>
        <w:t>67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20F14">
        <w:rPr>
          <w:rFonts w:ascii="Times New Roman" w:hAnsi="Times New Roman"/>
          <w:sz w:val="28"/>
          <w:szCs w:val="28"/>
        </w:rPr>
        <w:t xml:space="preserve">ов 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220F14">
        <w:rPr>
          <w:rFonts w:ascii="Times New Roman" w:hAnsi="Times New Roman"/>
          <w:sz w:val="28"/>
          <w:szCs w:val="28"/>
        </w:rPr>
        <w:t>1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3A01EC">
        <w:rPr>
          <w:rFonts w:ascii="Times New Roman" w:hAnsi="Times New Roman"/>
          <w:sz w:val="28"/>
          <w:szCs w:val="28"/>
        </w:rPr>
        <w:t>е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3A01EC">
        <w:rPr>
          <w:rFonts w:ascii="Times New Roman" w:hAnsi="Times New Roman"/>
          <w:sz w:val="28"/>
          <w:szCs w:val="28"/>
        </w:rPr>
        <w:t>5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220F14">
        <w:rPr>
          <w:rFonts w:ascii="Times New Roman" w:hAnsi="Times New Roman"/>
          <w:sz w:val="28"/>
          <w:szCs w:val="28"/>
        </w:rPr>
        <w:t xml:space="preserve">ов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6A3D90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«Социальная сфера»-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или </w:t>
      </w:r>
      <w:r w:rsidR="003A01E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3A01E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общего количества вопросов;</w:t>
      </w:r>
    </w:p>
    <w:p w:rsidR="003A01EC" w:rsidRPr="007C203E" w:rsidRDefault="003A01EC" w:rsidP="003A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«Государство, общество, политика»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вопросов;</w:t>
      </w:r>
    </w:p>
    <w:p w:rsidR="006A3D90" w:rsidRDefault="006A3D90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252C">
        <w:rPr>
          <w:rFonts w:ascii="Times New Roman" w:hAnsi="Times New Roman"/>
          <w:sz w:val="28"/>
          <w:szCs w:val="28"/>
        </w:rPr>
        <w:t>Оборона, безопасность, законность</w:t>
      </w:r>
      <w:r w:rsidRPr="00E725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A01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3A01E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1BB" w:rsidRDefault="00CA5E30" w:rsidP="0046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E70E6BF" wp14:editId="2C512174">
            <wp:simplePos x="0" y="0"/>
            <wp:positionH relativeFrom="column">
              <wp:posOffset>6757</wp:posOffset>
            </wp:positionH>
            <wp:positionV relativeFrom="paragraph">
              <wp:posOffset>91440</wp:posOffset>
            </wp:positionV>
            <wp:extent cx="5305245" cy="2613804"/>
            <wp:effectExtent l="0" t="0" r="10160" b="1524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64" w:type="dxa"/>
        <w:tblInd w:w="108" w:type="dxa"/>
        <w:tblLook w:val="04A0" w:firstRow="1" w:lastRow="0" w:firstColumn="1" w:lastColumn="0" w:noHBand="0" w:noVBand="1"/>
      </w:tblPr>
      <w:tblGrid>
        <w:gridCol w:w="145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5E30" w:rsidRPr="00CA5E30" w:rsidTr="00CA5E30">
        <w:trPr>
          <w:trHeight w:val="18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CA5E30" w:rsidRPr="00CA5E30">
              <w:trPr>
                <w:trHeight w:val="18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5E30" w:rsidRPr="00CA5E30" w:rsidRDefault="00CA5E30" w:rsidP="00CA5E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E30" w:rsidRPr="00CA5E30" w:rsidTr="00CA5E30">
        <w:trPr>
          <w:trHeight w:val="74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E30" w:rsidRPr="00CA5E30" w:rsidRDefault="00CA5E30" w:rsidP="00CA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2282" w:rsidRDefault="00AC36A4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EE6445">
        <w:rPr>
          <w:rFonts w:ascii="Times New Roman" w:hAnsi="Times New Roman"/>
          <w:sz w:val="28"/>
          <w:szCs w:val="28"/>
        </w:rPr>
        <w:t xml:space="preserve">январем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 w:rsidR="00CA5E30">
        <w:rPr>
          <w:rFonts w:ascii="Times New Roman" w:hAnsi="Times New Roman"/>
          <w:sz w:val="28"/>
          <w:szCs w:val="28"/>
        </w:rPr>
        <w:t>3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3D677C" w:rsidRDefault="007E25E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5122EA" w:rsidTr="00E96B81">
        <w:tc>
          <w:tcPr>
            <w:tcW w:w="1830" w:type="dxa"/>
          </w:tcPr>
          <w:p w:rsidR="005122EA" w:rsidRPr="00A9718D" w:rsidRDefault="005122EA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6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710F3" w:rsidRPr="00DF6BBB" w:rsidTr="00E96B81">
        <w:tc>
          <w:tcPr>
            <w:tcW w:w="1830" w:type="dxa"/>
          </w:tcPr>
          <w:p w:rsidR="002710F3" w:rsidRPr="00DF6BBB" w:rsidRDefault="002710F3" w:rsidP="002710F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2710F3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710F3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831" w:type="dxa"/>
          </w:tcPr>
          <w:p w:rsidR="002710F3" w:rsidRPr="00A7533C" w:rsidRDefault="002710F3" w:rsidP="002710F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2710F3" w:rsidRPr="00A7533C" w:rsidRDefault="002710F3" w:rsidP="002710F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710F3" w:rsidRPr="00DF6BBB" w:rsidRDefault="002710F3" w:rsidP="002710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г.</w:t>
            </w:r>
          </w:p>
        </w:tc>
      </w:tr>
      <w:tr w:rsidR="002710F3" w:rsidRPr="0013410B" w:rsidTr="00F9321F">
        <w:tc>
          <w:tcPr>
            <w:tcW w:w="1830" w:type="dxa"/>
            <w:vAlign w:val="center"/>
          </w:tcPr>
          <w:p w:rsidR="002710F3" w:rsidRPr="00A9718D" w:rsidRDefault="002710F3" w:rsidP="00271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 обращения или</w:t>
            </w:r>
          </w:p>
          <w:p w:rsidR="002710F3" w:rsidRPr="00866FE9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11обращений</w:t>
            </w:r>
          </w:p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710F3" w:rsidRPr="00866FE9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процента </w:t>
            </w:r>
          </w:p>
        </w:tc>
      </w:tr>
      <w:tr w:rsidR="002710F3" w:rsidRPr="0013410B" w:rsidTr="00F9321F">
        <w:tc>
          <w:tcPr>
            <w:tcW w:w="1830" w:type="dxa"/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0F3" w:rsidRPr="00A9718D" w:rsidRDefault="002710F3" w:rsidP="00271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 4 обращения или</w:t>
            </w:r>
          </w:p>
          <w:p w:rsidR="002710F3" w:rsidRPr="00866FE9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710F3" w:rsidRPr="00866FE9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процентов</w:t>
            </w:r>
          </w:p>
        </w:tc>
      </w:tr>
      <w:tr w:rsidR="002710F3" w:rsidRPr="0013410B" w:rsidTr="00F9321F">
        <w:tc>
          <w:tcPr>
            <w:tcW w:w="1830" w:type="dxa"/>
            <w:vAlign w:val="center"/>
          </w:tcPr>
          <w:p w:rsidR="002710F3" w:rsidRDefault="002710F3" w:rsidP="00271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0F3" w:rsidRPr="00A9718D" w:rsidRDefault="002710F3" w:rsidP="00271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710F3" w:rsidRPr="007075C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 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F3" w:rsidRPr="007075C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F3">
              <w:rPr>
                <w:rFonts w:ascii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2710F3" w:rsidRPr="0013410B" w:rsidTr="00F9321F">
        <w:tc>
          <w:tcPr>
            <w:tcW w:w="1830" w:type="dxa"/>
            <w:vAlign w:val="center"/>
          </w:tcPr>
          <w:p w:rsidR="002710F3" w:rsidRPr="003D633D" w:rsidRDefault="002710F3" w:rsidP="002710F3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2710F3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2710F3" w:rsidRPr="007F4EF9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F9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EF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EF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710F3" w:rsidRDefault="002710F3" w:rsidP="002710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F4E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2710F3" w:rsidRDefault="002710F3" w:rsidP="00271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F3" w:rsidRDefault="002710F3" w:rsidP="002710F3">
            <w:pPr>
              <w:jc w:val="center"/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2710F3" w:rsidRPr="0013410B" w:rsidTr="00F9321F">
        <w:tc>
          <w:tcPr>
            <w:tcW w:w="1830" w:type="dxa"/>
            <w:vAlign w:val="center"/>
          </w:tcPr>
          <w:p w:rsidR="002710F3" w:rsidRPr="0013410B" w:rsidRDefault="002710F3" w:rsidP="0027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2710F3" w:rsidRPr="005B34B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2710F3" w:rsidRPr="007075C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2710F3" w:rsidRPr="007075C7" w:rsidRDefault="002710F3" w:rsidP="0027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21CE" w:rsidRDefault="00D3404D" w:rsidP="00A4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9B">
        <w:rPr>
          <w:rFonts w:ascii="Times New Roman" w:hAnsi="Times New Roman"/>
          <w:b/>
          <w:sz w:val="28"/>
          <w:szCs w:val="28"/>
        </w:rPr>
        <w:t xml:space="preserve"> </w:t>
      </w:r>
      <w:r w:rsidR="00CA5E30">
        <w:rPr>
          <w:rFonts w:ascii="Times New Roman" w:hAnsi="Times New Roman"/>
          <w:b/>
          <w:sz w:val="28"/>
          <w:szCs w:val="28"/>
        </w:rPr>
        <w:t xml:space="preserve">  </w:t>
      </w:r>
      <w:r w:rsidR="002710F3">
        <w:rPr>
          <w:rFonts w:ascii="Times New Roman" w:hAnsi="Times New Roman"/>
          <w:b/>
          <w:sz w:val="28"/>
          <w:szCs w:val="28"/>
        </w:rPr>
        <w:t xml:space="preserve">    </w:t>
      </w:r>
      <w:r w:rsidR="00A42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тематическом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="00803C16">
        <w:rPr>
          <w:rFonts w:ascii="Times New Roman" w:hAnsi="Times New Roman"/>
          <w:b/>
          <w:sz w:val="28"/>
          <w:szCs w:val="28"/>
          <w:u w:val="single"/>
        </w:rPr>
        <w:t xml:space="preserve">«Жилищно-коммунальная сфера </w:t>
      </w:r>
      <w:r w:rsidR="00803C16" w:rsidRPr="00803C16">
        <w:rPr>
          <w:rFonts w:ascii="Times New Roman" w:hAnsi="Times New Roman"/>
          <w:sz w:val="28"/>
          <w:szCs w:val="28"/>
        </w:rPr>
        <w:t xml:space="preserve">поступило  1 обращение по вопросу оказания содействия в </w:t>
      </w:r>
      <w:r w:rsidR="00DE4990" w:rsidRPr="00803C16">
        <w:rPr>
          <w:rFonts w:ascii="Times New Roman" w:hAnsi="Times New Roman"/>
          <w:sz w:val="28"/>
          <w:szCs w:val="28"/>
        </w:rPr>
        <w:t xml:space="preserve"> </w:t>
      </w:r>
      <w:r w:rsidR="00803C16" w:rsidRPr="00803C16">
        <w:rPr>
          <w:rFonts w:ascii="Times New Roman" w:hAnsi="Times New Roman"/>
          <w:sz w:val="28"/>
          <w:szCs w:val="28"/>
        </w:rPr>
        <w:t>получении г</w:t>
      </w:r>
      <w:r w:rsidR="00803C16">
        <w:rPr>
          <w:rFonts w:ascii="Times New Roman" w:hAnsi="Times New Roman"/>
          <w:sz w:val="28"/>
          <w:szCs w:val="28"/>
        </w:rPr>
        <w:t>осударственного жилищного сертификата.</w:t>
      </w:r>
    </w:p>
    <w:p w:rsidR="00DC7107" w:rsidRDefault="00A42F9B" w:rsidP="00A42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тематич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еском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разделе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A82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«Экономика»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преобладали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6A56" w:rsidRPr="00DC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4A61" w:rsidRDefault="0004465F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земельных вопросов, </w:t>
      </w:r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отлова животных без владельцев, открытия общественных бань в. г. Новоульяновск и  с. Криуши, комплексного благоустройства </w:t>
      </w:r>
      <w:proofErr w:type="spellStart"/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риуши</w:t>
      </w:r>
      <w:proofErr w:type="spellEnd"/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ремонт</w:t>
      </w:r>
      <w:r w:rsidR="0080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дорожного покрытия, уличного </w:t>
      </w:r>
      <w:r w:rsidR="0080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27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вещения.</w:t>
      </w:r>
    </w:p>
    <w:p w:rsidR="00B76583" w:rsidRDefault="006A4A61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«Социальная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преобладали</w:t>
      </w:r>
      <w:proofErr w:type="gramEnd"/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803C16">
        <w:rPr>
          <w:rFonts w:ascii="Times New Roman" w:eastAsia="Times New Roman" w:hAnsi="Times New Roman" w:cs="Times New Roman"/>
          <w:sz w:val="28"/>
          <w:szCs w:val="28"/>
        </w:rPr>
        <w:t xml:space="preserve">поступило 1 обращение по вопросу </w:t>
      </w:r>
      <w:r w:rsidRPr="00786D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C16">
        <w:rPr>
          <w:rFonts w:ascii="Times New Roman" w:eastAsia="Times New Roman" w:hAnsi="Times New Roman" w:cs="Times New Roman"/>
          <w:sz w:val="28"/>
          <w:szCs w:val="28"/>
        </w:rPr>
        <w:t>обеспечения лекарственными средствами сельских жителей.</w:t>
      </w:r>
    </w:p>
    <w:p w:rsidR="006A4A61" w:rsidRDefault="006A4A61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5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65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разделе </w:t>
      </w:r>
      <w:r w:rsidRPr="00B76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76583">
        <w:rPr>
          <w:rFonts w:ascii="Times New Roman" w:hAnsi="Times New Roman"/>
          <w:b/>
          <w:sz w:val="28"/>
          <w:szCs w:val="28"/>
          <w:u w:val="single"/>
        </w:rPr>
        <w:t>«Оборона, безопасность, законность»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3C16">
        <w:rPr>
          <w:rFonts w:ascii="Times New Roman" w:hAnsi="Times New Roman"/>
          <w:sz w:val="28"/>
          <w:szCs w:val="28"/>
        </w:rPr>
        <w:t xml:space="preserve">  поступило 1обращение  по вопросу  </w:t>
      </w:r>
      <w:r w:rsidR="00803C16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803C16">
        <w:rPr>
          <w:rFonts w:ascii="Times New Roman" w:hAnsi="Times New Roman" w:cs="Times New Roman"/>
          <w:sz w:val="28"/>
          <w:szCs w:val="28"/>
        </w:rPr>
        <w:t>я</w:t>
      </w:r>
      <w:r w:rsidR="00803C16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>
        <w:rPr>
          <w:rFonts w:ascii="Times New Roman" w:hAnsi="Times New Roman"/>
          <w:sz w:val="28"/>
          <w:szCs w:val="28"/>
        </w:rPr>
        <w:t>.</w:t>
      </w:r>
    </w:p>
    <w:p w:rsidR="00803C16" w:rsidRPr="00803C16" w:rsidRDefault="00803C16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C16">
        <w:rPr>
          <w:rFonts w:ascii="Times New Roman" w:hAnsi="Times New Roman"/>
          <w:sz w:val="28"/>
          <w:szCs w:val="28"/>
        </w:rPr>
        <w:t xml:space="preserve">          </w:t>
      </w:r>
      <w:r w:rsidRPr="00803C16">
        <w:rPr>
          <w:rFonts w:ascii="Times New Roman" w:hAnsi="Times New Roman"/>
          <w:b/>
          <w:sz w:val="28"/>
          <w:szCs w:val="28"/>
          <w:u w:val="single"/>
        </w:rPr>
        <w:t>В тематическом разделе «</w:t>
      </w:r>
      <w:r w:rsidRPr="00803C16">
        <w:rPr>
          <w:rFonts w:ascii="Times New Roman" w:hAnsi="Times New Roman" w:cs="Times New Roman"/>
          <w:b/>
          <w:sz w:val="28"/>
          <w:szCs w:val="28"/>
          <w:u w:val="single"/>
        </w:rPr>
        <w:t>«Государство, общество, политика»</w:t>
      </w:r>
      <w:r w:rsidRPr="00803C16">
        <w:rPr>
          <w:rFonts w:ascii="Times New Roman" w:hAnsi="Times New Roman"/>
          <w:b/>
          <w:sz w:val="28"/>
          <w:szCs w:val="28"/>
          <w:u w:val="single"/>
        </w:rPr>
        <w:t xml:space="preserve"> преобладали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3C16">
        <w:rPr>
          <w:rFonts w:ascii="Times New Roman" w:hAnsi="Times New Roman"/>
          <w:b/>
          <w:sz w:val="28"/>
          <w:szCs w:val="28"/>
          <w:u w:val="single"/>
        </w:rPr>
        <w:t xml:space="preserve"> вопросы:</w:t>
      </w:r>
      <w:r w:rsidRPr="008927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оплаты муниципального контракта, 2 обращения по увековечиванию памяти участника Великой Отечественной Войны на мемориальной доске у монумента «Скорбящая мать».</w:t>
      </w:r>
    </w:p>
    <w:p w:rsidR="002A44AF" w:rsidRDefault="00803C16" w:rsidP="0080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73AF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773AFE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773AF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773AF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773AF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773AFE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6583">
        <w:rPr>
          <w:rFonts w:ascii="Times New Roman" w:hAnsi="Times New Roman" w:cs="Times New Roman"/>
          <w:sz w:val="28"/>
          <w:szCs w:val="28"/>
        </w:rPr>
        <w:t xml:space="preserve">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 w:rsidR="00773AFE"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="00773AFE"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773AFE"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50" w:rsidRDefault="000860C9" w:rsidP="0089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>П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о </w:t>
      </w:r>
      <w:r w:rsidR="00892750">
        <w:rPr>
          <w:rFonts w:ascii="Times New Roman" w:hAnsi="Times New Roman" w:cs="Times New Roman"/>
          <w:sz w:val="28"/>
          <w:szCs w:val="28"/>
        </w:rPr>
        <w:t>двум</w:t>
      </w:r>
      <w:r w:rsidR="00803C16">
        <w:rPr>
          <w:rFonts w:ascii="Times New Roman" w:hAnsi="Times New Roman" w:cs="Times New Roman"/>
          <w:sz w:val="28"/>
          <w:szCs w:val="28"/>
        </w:rPr>
        <w:t xml:space="preserve"> 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</w:rPr>
        <w:t>обращени</w:t>
      </w:r>
      <w:r w:rsidR="00803C16">
        <w:rPr>
          <w:rFonts w:ascii="Times New Roman" w:hAnsi="Times New Roman" w:cs="Times New Roman"/>
          <w:sz w:val="28"/>
          <w:szCs w:val="28"/>
        </w:rPr>
        <w:t>ю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1F5DDC">
        <w:rPr>
          <w:rFonts w:ascii="Times New Roman" w:hAnsi="Times New Roman" w:cs="Times New Roman"/>
          <w:sz w:val="28"/>
          <w:szCs w:val="28"/>
        </w:rPr>
        <w:t>был</w:t>
      </w:r>
      <w:r w:rsidR="00803C16">
        <w:rPr>
          <w:rFonts w:ascii="Times New Roman" w:hAnsi="Times New Roman" w:cs="Times New Roman"/>
          <w:sz w:val="28"/>
          <w:szCs w:val="28"/>
        </w:rPr>
        <w:t>о</w:t>
      </w:r>
      <w:r w:rsidR="001F5DDC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03C16">
        <w:rPr>
          <w:rFonts w:ascii="Times New Roman" w:hAnsi="Times New Roman" w:cs="Times New Roman"/>
          <w:sz w:val="28"/>
          <w:szCs w:val="28"/>
        </w:rPr>
        <w:t>о</w:t>
      </w:r>
      <w:r w:rsidR="001F5DDC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803C16">
        <w:rPr>
          <w:rFonts w:ascii="Times New Roman" w:hAnsi="Times New Roman" w:cs="Times New Roman"/>
          <w:sz w:val="28"/>
          <w:szCs w:val="28"/>
        </w:rPr>
        <w:t>ое</w:t>
      </w:r>
      <w:r w:rsidR="001F5DD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3C16">
        <w:rPr>
          <w:rFonts w:ascii="Times New Roman" w:hAnsi="Times New Roman" w:cs="Times New Roman"/>
          <w:sz w:val="28"/>
          <w:szCs w:val="28"/>
        </w:rPr>
        <w:t>е</w:t>
      </w:r>
      <w:r w:rsidR="00892750">
        <w:rPr>
          <w:rFonts w:ascii="Times New Roman" w:hAnsi="Times New Roman" w:cs="Times New Roman"/>
          <w:sz w:val="28"/>
          <w:szCs w:val="28"/>
        </w:rPr>
        <w:t xml:space="preserve"> </w:t>
      </w:r>
      <w:r w:rsidR="00892750">
        <w:rPr>
          <w:rFonts w:ascii="Times New Roman" w:hAnsi="Times New Roman" w:cs="Times New Roman"/>
          <w:sz w:val="28"/>
          <w:szCs w:val="28"/>
        </w:rPr>
        <w:br/>
      </w:r>
      <w:r w:rsidR="001F5DDC">
        <w:rPr>
          <w:rFonts w:ascii="Times New Roman" w:hAnsi="Times New Roman" w:cs="Times New Roman"/>
          <w:sz w:val="28"/>
          <w:szCs w:val="28"/>
        </w:rPr>
        <w:t>(</w:t>
      </w:r>
      <w:r w:rsidR="00892750">
        <w:rPr>
          <w:rFonts w:ascii="Times New Roman" w:hAnsi="Times New Roman"/>
          <w:sz w:val="28"/>
          <w:szCs w:val="28"/>
        </w:rPr>
        <w:t>по увековечиванию памяти участника Великой Отечественной Войны на мемориальной доске у монумента «Скорбящая мать»).</w:t>
      </w:r>
    </w:p>
    <w:p w:rsidR="00892750" w:rsidRDefault="00892750" w:rsidP="0089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было направлено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892750" w:rsidRDefault="00892750" w:rsidP="008927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по 1 обращению, которое находилось на внутреннем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(восстановлено уличное освещение).</w:t>
      </w:r>
    </w:p>
    <w:p w:rsidR="002A4C01" w:rsidRPr="000A2531" w:rsidRDefault="000B72CE" w:rsidP="000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0B20D0" w:rsidRPr="00F327A0">
        <w:rPr>
          <w:rFonts w:ascii="Times New Roman" w:hAnsi="Times New Roman" w:cs="Times New Roman"/>
          <w:sz w:val="28"/>
          <w:szCs w:val="28"/>
        </w:rPr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се обращения граждан подлежат рассмотрению в порядке и сроки, установленные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02.05.2006 года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№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59-ФЗ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</w:t>
      </w:r>
      <w:r w:rsidR="003F05F3">
        <w:rPr>
          <w:rFonts w:ascii="Times New Roman" w:hAnsi="Times New Roman" w:cs="Times New Roman"/>
          <w:sz w:val="28"/>
          <w:szCs w:val="28"/>
        </w:rPr>
        <w:br/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обращений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Российской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2009"/>
    <w:rsid w:val="0004465F"/>
    <w:rsid w:val="0004527D"/>
    <w:rsid w:val="00050484"/>
    <w:rsid w:val="00050E66"/>
    <w:rsid w:val="000630CF"/>
    <w:rsid w:val="00070954"/>
    <w:rsid w:val="000732E3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43EB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84345"/>
    <w:rsid w:val="00195557"/>
    <w:rsid w:val="001A29F9"/>
    <w:rsid w:val="001A3FA1"/>
    <w:rsid w:val="001A4F7F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0F14"/>
    <w:rsid w:val="002237B2"/>
    <w:rsid w:val="00224152"/>
    <w:rsid w:val="00240028"/>
    <w:rsid w:val="00242EF7"/>
    <w:rsid w:val="0024582D"/>
    <w:rsid w:val="00252646"/>
    <w:rsid w:val="00255AC7"/>
    <w:rsid w:val="00262421"/>
    <w:rsid w:val="002710F3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611E"/>
    <w:rsid w:val="003A01EC"/>
    <w:rsid w:val="003B160A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6F17"/>
    <w:rsid w:val="003F720F"/>
    <w:rsid w:val="003F7328"/>
    <w:rsid w:val="003F7E1E"/>
    <w:rsid w:val="00402F98"/>
    <w:rsid w:val="0040401C"/>
    <w:rsid w:val="00417DD4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44AA"/>
    <w:rsid w:val="0056617E"/>
    <w:rsid w:val="0057087A"/>
    <w:rsid w:val="00575AD5"/>
    <w:rsid w:val="00586661"/>
    <w:rsid w:val="00597BC0"/>
    <w:rsid w:val="005A2AC9"/>
    <w:rsid w:val="005A46B6"/>
    <w:rsid w:val="005A4931"/>
    <w:rsid w:val="005B233C"/>
    <w:rsid w:val="005B34B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662B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80A75"/>
    <w:rsid w:val="006819E2"/>
    <w:rsid w:val="00683C36"/>
    <w:rsid w:val="00684495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13BA"/>
    <w:rsid w:val="00702282"/>
    <w:rsid w:val="0071362F"/>
    <w:rsid w:val="00720123"/>
    <w:rsid w:val="00721324"/>
    <w:rsid w:val="0073301E"/>
    <w:rsid w:val="00733AAF"/>
    <w:rsid w:val="007417A7"/>
    <w:rsid w:val="00741A05"/>
    <w:rsid w:val="00743ADF"/>
    <w:rsid w:val="00744B56"/>
    <w:rsid w:val="00752234"/>
    <w:rsid w:val="0076415E"/>
    <w:rsid w:val="00773AFE"/>
    <w:rsid w:val="00775812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3C16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6E08"/>
    <w:rsid w:val="00892750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24B87"/>
    <w:rsid w:val="00943CBD"/>
    <w:rsid w:val="00944C8A"/>
    <w:rsid w:val="00955DF2"/>
    <w:rsid w:val="00956044"/>
    <w:rsid w:val="00963A4E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B0694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275D"/>
    <w:rsid w:val="00A64AF2"/>
    <w:rsid w:val="00A66827"/>
    <w:rsid w:val="00A75679"/>
    <w:rsid w:val="00A922AE"/>
    <w:rsid w:val="00A941EB"/>
    <w:rsid w:val="00A9718D"/>
    <w:rsid w:val="00AA3167"/>
    <w:rsid w:val="00AC2878"/>
    <w:rsid w:val="00AC36A4"/>
    <w:rsid w:val="00AD4AAD"/>
    <w:rsid w:val="00AD57AB"/>
    <w:rsid w:val="00AD759E"/>
    <w:rsid w:val="00AD764B"/>
    <w:rsid w:val="00AF4DA5"/>
    <w:rsid w:val="00AF558C"/>
    <w:rsid w:val="00B0526F"/>
    <w:rsid w:val="00B149E4"/>
    <w:rsid w:val="00B14A7A"/>
    <w:rsid w:val="00B1628C"/>
    <w:rsid w:val="00B20D17"/>
    <w:rsid w:val="00B35CBE"/>
    <w:rsid w:val="00B42A91"/>
    <w:rsid w:val="00B452BA"/>
    <w:rsid w:val="00B512A2"/>
    <w:rsid w:val="00B575B6"/>
    <w:rsid w:val="00B60E4F"/>
    <w:rsid w:val="00B61A29"/>
    <w:rsid w:val="00B76583"/>
    <w:rsid w:val="00B775BE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A5E30"/>
    <w:rsid w:val="00CB0718"/>
    <w:rsid w:val="00CB6B17"/>
    <w:rsid w:val="00CB7866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56E"/>
    <w:rsid w:val="00E51A05"/>
    <w:rsid w:val="00E629F6"/>
    <w:rsid w:val="00E62BB7"/>
    <w:rsid w:val="00E64D19"/>
    <w:rsid w:val="00E65354"/>
    <w:rsid w:val="00E76F0A"/>
    <w:rsid w:val="00E859DF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E6445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53C86"/>
    <w:rsid w:val="00F714B9"/>
    <w:rsid w:val="00F72BFA"/>
    <w:rsid w:val="00F74D00"/>
    <w:rsid w:val="00F901C6"/>
    <w:rsid w:val="00F91C39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31111363787115E-2"/>
          <c:y val="4.3733851450386885E-2"/>
          <c:w val="0.71325274412633177"/>
          <c:h val="0.46822839970664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февраль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январь  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февраль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81856"/>
        <c:axId val="127087744"/>
        <c:axId val="0"/>
      </c:bar3DChart>
      <c:catAx>
        <c:axId val="127081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7087744"/>
        <c:crosses val="autoZero"/>
        <c:auto val="1"/>
        <c:lblAlgn val="ctr"/>
        <c:lblOffset val="100"/>
        <c:noMultiLvlLbl val="0"/>
      </c:catAx>
      <c:valAx>
        <c:axId val="12708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8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810686405623109E-2"/>
          <c:y val="3.0627941999053401E-2"/>
          <c:w val="0.49669669669669669"/>
          <c:h val="0.90382513661202191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«Оборона, безопасность, законность»</c:v>
                </c:pt>
                <c:pt idx="4">
                  <c:v>«Государство, общество, политика»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0.67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C318-00A4-4CFD-876E-252C2089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2016-11-07T10:59:00Z</cp:lastPrinted>
  <dcterms:created xsi:type="dcterms:W3CDTF">2020-04-01T05:37:00Z</dcterms:created>
  <dcterms:modified xsi:type="dcterms:W3CDTF">2023-03-02T06:20:00Z</dcterms:modified>
</cp:coreProperties>
</file>