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17" w:rsidRDefault="00321E41" w:rsidP="006233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обзор </w:t>
      </w:r>
      <w:r w:rsidRPr="006B260E">
        <w:rPr>
          <w:rFonts w:ascii="Times New Roman" w:hAnsi="Times New Roman"/>
          <w:sz w:val="28"/>
          <w:szCs w:val="28"/>
        </w:rPr>
        <w:t xml:space="preserve"> </w:t>
      </w:r>
      <w:r w:rsidR="00C97A49">
        <w:rPr>
          <w:rFonts w:ascii="Times New Roman" w:hAnsi="Times New Roman" w:cs="Times New Roman"/>
          <w:sz w:val="28"/>
          <w:szCs w:val="28"/>
        </w:rPr>
        <w:t>обращений</w:t>
      </w:r>
      <w:r w:rsidR="00F17E1D" w:rsidRPr="00F17E1D">
        <w:rPr>
          <w:rFonts w:ascii="Times New Roman" w:hAnsi="Times New Roman" w:cs="Times New Roman"/>
          <w:sz w:val="28"/>
          <w:szCs w:val="28"/>
        </w:rPr>
        <w:t xml:space="preserve"> граждан и организаций, поступивших в Администрацию муниципального образования «Город Новоульяновск»</w:t>
      </w:r>
    </w:p>
    <w:p w:rsidR="00321E41" w:rsidRDefault="00F27EF4" w:rsidP="0062337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1B5F8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483AFF">
        <w:rPr>
          <w:rFonts w:ascii="Times New Roman" w:hAnsi="Times New Roman"/>
          <w:sz w:val="28"/>
          <w:szCs w:val="28"/>
        </w:rPr>
        <w:t xml:space="preserve">август </w:t>
      </w:r>
      <w:r w:rsidR="00321E41" w:rsidRPr="006B260E">
        <w:rPr>
          <w:rFonts w:ascii="Times New Roman" w:hAnsi="Times New Roman"/>
          <w:sz w:val="28"/>
          <w:szCs w:val="28"/>
        </w:rPr>
        <w:t>20</w:t>
      </w:r>
      <w:r w:rsidR="00504A33">
        <w:rPr>
          <w:rFonts w:ascii="Times New Roman" w:hAnsi="Times New Roman"/>
          <w:sz w:val="28"/>
          <w:szCs w:val="28"/>
        </w:rPr>
        <w:t>2</w:t>
      </w:r>
      <w:r w:rsidR="00F86904">
        <w:rPr>
          <w:rFonts w:ascii="Times New Roman" w:hAnsi="Times New Roman"/>
          <w:sz w:val="28"/>
          <w:szCs w:val="28"/>
        </w:rPr>
        <w:t>4</w:t>
      </w:r>
      <w:r w:rsidR="00294E65">
        <w:rPr>
          <w:rFonts w:ascii="Times New Roman" w:hAnsi="Times New Roman"/>
          <w:sz w:val="28"/>
          <w:szCs w:val="28"/>
        </w:rPr>
        <w:t xml:space="preserve"> </w:t>
      </w:r>
      <w:r w:rsidR="00321E41" w:rsidRPr="006B260E">
        <w:rPr>
          <w:rFonts w:ascii="Times New Roman" w:hAnsi="Times New Roman"/>
          <w:sz w:val="28"/>
          <w:szCs w:val="28"/>
        </w:rPr>
        <w:t>года.</w:t>
      </w:r>
    </w:p>
    <w:p w:rsidR="000109FC" w:rsidRPr="00C42234" w:rsidRDefault="00F27EF4" w:rsidP="00A75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234">
        <w:rPr>
          <w:rFonts w:ascii="Times New Roman" w:hAnsi="Times New Roman"/>
          <w:b/>
          <w:sz w:val="28"/>
          <w:szCs w:val="28"/>
        </w:rPr>
        <w:t xml:space="preserve"> </w:t>
      </w:r>
      <w:r w:rsidR="00A418AA" w:rsidRPr="00C4223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83AFF">
        <w:rPr>
          <w:rFonts w:ascii="Times New Roman" w:eastAsia="Times New Roman" w:hAnsi="Times New Roman" w:cs="Times New Roman"/>
          <w:sz w:val="28"/>
          <w:szCs w:val="28"/>
        </w:rPr>
        <w:t>августе</w:t>
      </w:r>
      <w:r w:rsidRPr="00C42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33C" w:rsidRPr="00C4223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86904">
        <w:rPr>
          <w:rFonts w:ascii="Times New Roman" w:eastAsia="Times New Roman" w:hAnsi="Times New Roman" w:cs="Times New Roman"/>
          <w:sz w:val="28"/>
          <w:szCs w:val="28"/>
        </w:rPr>
        <w:t>4</w:t>
      </w:r>
      <w:r w:rsidR="00A7533C" w:rsidRPr="00C42234">
        <w:rPr>
          <w:rFonts w:ascii="Times New Roman" w:eastAsia="Times New Roman" w:hAnsi="Times New Roman" w:cs="Times New Roman"/>
          <w:sz w:val="28"/>
          <w:szCs w:val="28"/>
        </w:rPr>
        <w:t xml:space="preserve"> года в Администрацию МО  «Город  Новоульяновск»  Ульяновской   области   поступило</w:t>
      </w:r>
      <w:r w:rsidRPr="00C42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33C" w:rsidRPr="00C42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904">
        <w:rPr>
          <w:rFonts w:ascii="Times New Roman" w:eastAsia="Times New Roman" w:hAnsi="Times New Roman" w:cs="Times New Roman"/>
          <w:sz w:val="28"/>
          <w:szCs w:val="28"/>
        </w:rPr>
        <w:t>27</w:t>
      </w:r>
      <w:r w:rsidR="00894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33C" w:rsidRPr="00C42234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885016">
        <w:rPr>
          <w:rFonts w:ascii="Times New Roman" w:eastAsia="Times New Roman" w:hAnsi="Times New Roman" w:cs="Times New Roman"/>
          <w:sz w:val="28"/>
          <w:szCs w:val="28"/>
        </w:rPr>
        <w:t>й</w:t>
      </w:r>
      <w:r w:rsidR="00A7533C" w:rsidRPr="00C42234">
        <w:rPr>
          <w:rFonts w:ascii="Times New Roman" w:eastAsia="Times New Roman" w:hAnsi="Times New Roman" w:cs="Times New Roman"/>
          <w:sz w:val="28"/>
          <w:szCs w:val="28"/>
        </w:rPr>
        <w:t xml:space="preserve">  граждан. </w:t>
      </w:r>
      <w:r w:rsidR="000109FC" w:rsidRPr="00C42234">
        <w:rPr>
          <w:rFonts w:ascii="Times New Roman" w:eastAsia="Times New Roman" w:hAnsi="Times New Roman" w:cs="Times New Roman"/>
          <w:sz w:val="28"/>
          <w:szCs w:val="28"/>
        </w:rPr>
        <w:t>Это в 1</w:t>
      </w:r>
      <w:r w:rsidR="00CE45C0">
        <w:rPr>
          <w:rFonts w:ascii="Times New Roman" w:eastAsia="Times New Roman" w:hAnsi="Times New Roman" w:cs="Times New Roman"/>
          <w:sz w:val="28"/>
          <w:szCs w:val="28"/>
        </w:rPr>
        <w:t>,</w:t>
      </w:r>
      <w:r w:rsidR="008710E2">
        <w:rPr>
          <w:rFonts w:ascii="Times New Roman" w:eastAsia="Times New Roman" w:hAnsi="Times New Roman" w:cs="Times New Roman"/>
          <w:sz w:val="28"/>
          <w:szCs w:val="28"/>
        </w:rPr>
        <w:t>5</w:t>
      </w:r>
      <w:r w:rsidR="00CC31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9FC" w:rsidRPr="00C42234">
        <w:rPr>
          <w:rFonts w:ascii="Times New Roman" w:eastAsia="Times New Roman" w:hAnsi="Times New Roman" w:cs="Times New Roman"/>
          <w:sz w:val="28"/>
          <w:szCs w:val="28"/>
        </w:rPr>
        <w:t xml:space="preserve">раза </w:t>
      </w:r>
      <w:r w:rsidR="008710E2">
        <w:rPr>
          <w:rFonts w:ascii="Times New Roman" w:eastAsia="Times New Roman" w:hAnsi="Times New Roman" w:cs="Times New Roman"/>
          <w:sz w:val="28"/>
          <w:szCs w:val="28"/>
        </w:rPr>
        <w:t>меньше</w:t>
      </w:r>
      <w:r w:rsidR="000109FC" w:rsidRPr="00C42234">
        <w:rPr>
          <w:rFonts w:ascii="Times New Roman" w:eastAsia="Times New Roman" w:hAnsi="Times New Roman" w:cs="Times New Roman"/>
          <w:sz w:val="28"/>
          <w:szCs w:val="28"/>
        </w:rPr>
        <w:t xml:space="preserve"> чем в </w:t>
      </w:r>
      <w:r w:rsidR="008947FD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483AFF">
        <w:rPr>
          <w:rFonts w:ascii="Times New Roman" w:eastAsia="Times New Roman" w:hAnsi="Times New Roman" w:cs="Times New Roman"/>
          <w:sz w:val="28"/>
          <w:szCs w:val="28"/>
        </w:rPr>
        <w:t>л</w:t>
      </w:r>
      <w:r w:rsidR="008947F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109FC" w:rsidRPr="00C4223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86904">
        <w:rPr>
          <w:rFonts w:ascii="Times New Roman" w:eastAsia="Times New Roman" w:hAnsi="Times New Roman" w:cs="Times New Roman"/>
          <w:sz w:val="28"/>
          <w:szCs w:val="28"/>
        </w:rPr>
        <w:t>4</w:t>
      </w:r>
      <w:r w:rsidR="00CC317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710E2">
        <w:rPr>
          <w:rFonts w:ascii="Times New Roman" w:eastAsia="Times New Roman" w:hAnsi="Times New Roman" w:cs="Times New Roman"/>
          <w:sz w:val="28"/>
          <w:szCs w:val="28"/>
        </w:rPr>
        <w:t>41</w:t>
      </w:r>
      <w:r w:rsidR="008947FD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8710E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947FD">
        <w:rPr>
          <w:rFonts w:ascii="Times New Roman" w:eastAsia="Times New Roman" w:hAnsi="Times New Roman" w:cs="Times New Roman"/>
          <w:sz w:val="28"/>
          <w:szCs w:val="28"/>
        </w:rPr>
        <w:t>)</w:t>
      </w:r>
      <w:r w:rsidR="000109FC" w:rsidRPr="00C42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A2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83AF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710E2">
        <w:rPr>
          <w:rFonts w:ascii="Times New Roman" w:eastAsia="Times New Roman" w:hAnsi="Times New Roman" w:cs="Times New Roman"/>
          <w:sz w:val="28"/>
          <w:szCs w:val="28"/>
        </w:rPr>
        <w:t>3,4</w:t>
      </w:r>
      <w:r w:rsidR="00483AFF">
        <w:rPr>
          <w:rFonts w:ascii="Times New Roman" w:eastAsia="Times New Roman" w:hAnsi="Times New Roman" w:cs="Times New Roman"/>
          <w:sz w:val="28"/>
          <w:szCs w:val="28"/>
        </w:rPr>
        <w:t xml:space="preserve"> раза </w:t>
      </w:r>
      <w:r w:rsidR="008710E2">
        <w:rPr>
          <w:rFonts w:ascii="Times New Roman" w:eastAsia="Times New Roman" w:hAnsi="Times New Roman" w:cs="Times New Roman"/>
          <w:sz w:val="28"/>
          <w:szCs w:val="28"/>
        </w:rPr>
        <w:t>меньше</w:t>
      </w:r>
      <w:r w:rsidR="00483AFF">
        <w:rPr>
          <w:rFonts w:ascii="Times New Roman" w:eastAsia="Times New Roman" w:hAnsi="Times New Roman" w:cs="Times New Roman"/>
          <w:sz w:val="28"/>
          <w:szCs w:val="28"/>
        </w:rPr>
        <w:t xml:space="preserve"> чем </w:t>
      </w:r>
      <w:r w:rsidR="008947F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109FC" w:rsidRPr="00C422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аналогичном  периоде  прошлого</w:t>
      </w:r>
      <w:r w:rsidR="00785C8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109FC" w:rsidRPr="00C422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</w:t>
      </w:r>
      <w:r w:rsidR="000109FC" w:rsidRPr="00C42234">
        <w:rPr>
          <w:rFonts w:ascii="Arial" w:eastAsia="Times New Roman" w:hAnsi="Arial" w:cs="Arial"/>
          <w:color w:val="212121"/>
          <w:sz w:val="18"/>
          <w:szCs w:val="18"/>
          <w:shd w:val="clear" w:color="auto" w:fill="FFFFFF"/>
        </w:rPr>
        <w:t> </w:t>
      </w:r>
      <w:r w:rsidR="000109FC" w:rsidRPr="00C4223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86904">
        <w:rPr>
          <w:rFonts w:ascii="Times New Roman" w:eastAsia="Times New Roman" w:hAnsi="Times New Roman" w:cs="Times New Roman"/>
          <w:sz w:val="28"/>
          <w:szCs w:val="28"/>
        </w:rPr>
        <w:t>61</w:t>
      </w:r>
      <w:r w:rsidR="00894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9FC" w:rsidRPr="00C42234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8947F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109FC" w:rsidRPr="00C4223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7533C" w:rsidRPr="00A7533C" w:rsidRDefault="00A7533C" w:rsidP="00A7533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  <w:sz w:val="18"/>
          <w:szCs w:val="18"/>
          <w:shd w:val="clear" w:color="auto" w:fill="FFFFFF"/>
        </w:rPr>
      </w:pP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Общее количество вопросов, поставленных гражданами в своих обращениях, в обзорном  периоде составило</w:t>
      </w:r>
      <w:r w:rsidR="00A37A2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1674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28</w:t>
      </w:r>
      <w:r w:rsidR="0086762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вопрос</w:t>
      </w:r>
      <w:r w:rsidR="001674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это на </w:t>
      </w:r>
      <w:r w:rsidR="001674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18</w:t>
      </w:r>
      <w:r w:rsidR="000109F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вопрос</w:t>
      </w:r>
      <w:r w:rsidR="00A37A2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ов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или  </w:t>
      </w:r>
      <w:r w:rsidR="001674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39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483AF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ов </w:t>
      </w:r>
      <w:r w:rsidR="001674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чем в </w:t>
      </w:r>
      <w:r w:rsidR="008947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ию</w:t>
      </w:r>
      <w:r w:rsidR="00483AF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л</w:t>
      </w:r>
      <w:r w:rsidR="008947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е </w:t>
      </w:r>
      <w:r w:rsidR="00785C8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202</w:t>
      </w:r>
      <w:r w:rsidR="00CE45C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1674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CE45C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и  на </w:t>
      </w:r>
      <w:r w:rsidR="001674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64</w:t>
      </w:r>
      <w:r w:rsidR="008947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вопрос</w:t>
      </w:r>
      <w:r w:rsidR="00CE45C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1674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69</w:t>
      </w:r>
      <w:r w:rsidR="00785C8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6762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1674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</w:t>
      </w:r>
      <w:r w:rsidR="001674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Pr="00A7533C">
        <w:rPr>
          <w:rFonts w:ascii="Arial" w:eastAsia="Times New Roman" w:hAnsi="Arial" w:cs="Arial"/>
          <w:color w:val="212121"/>
          <w:sz w:val="18"/>
          <w:szCs w:val="1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чем</w:t>
      </w:r>
      <w:r w:rsidR="0086762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  аналогичном  периоде  прошлого  года  (</w:t>
      </w:r>
      <w:r w:rsidR="001674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92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Pr="00A7533C">
        <w:rPr>
          <w:rFonts w:ascii="Arial" w:eastAsia="Times New Roman" w:hAnsi="Arial" w:cs="Arial"/>
          <w:color w:val="212121"/>
          <w:sz w:val="18"/>
          <w:szCs w:val="18"/>
          <w:shd w:val="clear" w:color="auto" w:fill="FFFFFF"/>
        </w:rPr>
        <w:t>.</w:t>
      </w:r>
    </w:p>
    <w:p w:rsidR="00A7533C" w:rsidRPr="00A7533C" w:rsidRDefault="00A7533C" w:rsidP="00A75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Обращения концентрировались в Администрации МО «Город Новоульяновск»  Ульяновской  области  по следующим имеющимся источникам  поступления:</w:t>
      </w:r>
    </w:p>
    <w:p w:rsidR="00EF4BD8" w:rsidRDefault="00A7533C" w:rsidP="00425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-   письменная  форма  обращений – </w:t>
      </w:r>
      <w:r w:rsidR="00EB130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1674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483AF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 </w:t>
      </w:r>
      <w:r w:rsidR="00EF4BD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1674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48</w:t>
      </w:r>
      <w:r w:rsidR="00277A3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1674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EB130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A071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от   общего  объёма  корреспонденции. </w:t>
      </w:r>
      <w:r w:rsidR="00EF4BD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67627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</w:t>
      </w:r>
      <w:r w:rsidR="00EF4BD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</w:t>
      </w:r>
      <w:r w:rsidR="001674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EF4BD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CE45C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EF4BD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</w:t>
      </w:r>
      <w:r w:rsidR="001674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18</w:t>
      </w:r>
      <w:r w:rsidR="004250B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F4BD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процентов </w:t>
      </w:r>
      <w:r w:rsidR="004250B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31C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="00FC417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F4BD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чем в предыдущем месяце текущего года</w:t>
      </w:r>
      <w:r w:rsidR="007A4CF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r w:rsidR="00CE45C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1674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="007A4CF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6A071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="004250B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6A0719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 на </w:t>
      </w:r>
      <w:r w:rsidR="001674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EB130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A0719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1674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е</w:t>
      </w:r>
      <w:r w:rsidR="006A071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 </w:t>
      </w:r>
      <w:r w:rsidR="001674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8</w:t>
      </w:r>
      <w:r w:rsidR="006A0719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процент</w:t>
      </w:r>
      <w:r w:rsidR="006A071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6A0719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CE45C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="006A0719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чем в аналогичном  периоде  202</w:t>
      </w:r>
      <w:r w:rsidR="001674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6A071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A0719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</w:t>
      </w:r>
      <w:r w:rsidR="006A071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A0719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r w:rsidR="001674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12</w:t>
      </w:r>
      <w:r w:rsidR="006A0719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</w:p>
    <w:p w:rsidR="00E530F8" w:rsidRDefault="00867627" w:rsidP="00E53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A7533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- электронная форма  обращений  («виртуальная приемная» </w:t>
      </w:r>
      <w:r w:rsidR="00A7533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  <w:t>и официальный  «электронный  почтовый  ящик»)</w:t>
      </w:r>
      <w:r w:rsidR="004250B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7533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- </w:t>
      </w:r>
      <w:r w:rsidR="001674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A7533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</w:t>
      </w:r>
      <w:r w:rsidR="00277A3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1674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7</w:t>
      </w:r>
      <w:r w:rsidR="00CE45C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7533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CE45C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A7533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от  общего  объёма  корреспонденции.  </w:t>
      </w:r>
      <w:r w:rsidR="00631C0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</w:t>
      </w:r>
      <w:r w:rsidR="00631C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</w:t>
      </w:r>
      <w:r w:rsidR="001674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631C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CE45C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631C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</w:t>
      </w:r>
      <w:r w:rsidR="001674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67</w:t>
      </w:r>
      <w:r w:rsidR="00631C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процент</w:t>
      </w:r>
      <w:r w:rsidR="00CE45C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631C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CE45C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="00631C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чем в предыдущем  месяце текущего года </w:t>
      </w:r>
      <w:r w:rsidR="00E530F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1674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="00631C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), и </w:t>
      </w:r>
      <w:r w:rsidR="00631C0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</w:t>
      </w:r>
      <w:r w:rsidR="001674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7C392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31C0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1674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631C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 </w:t>
      </w:r>
      <w:r w:rsidR="001674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60</w:t>
      </w:r>
      <w:r w:rsidR="00631C0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процент</w:t>
      </w:r>
      <w:r w:rsidR="00CE45C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631C0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1674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меньше </w:t>
      </w:r>
      <w:r w:rsidR="00631C0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чем в аналогичном  периоде  202</w:t>
      </w:r>
      <w:r w:rsidR="001674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631C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31C0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</w:t>
      </w:r>
      <w:r w:rsidR="00631C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31C0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B130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1674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="00631C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</w:p>
    <w:p w:rsidR="008947FD" w:rsidRDefault="00A7533C" w:rsidP="008947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-  обращения из  вышестоящих  организаций –</w:t>
      </w:r>
      <w:r w:rsidR="001674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 что составляет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1674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88501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9</w:t>
      </w:r>
      <w:r w:rsidR="004250B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1674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EF4BD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от   общего  объёма  корреспонденции. </w:t>
      </w:r>
      <w:r w:rsidR="007C392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на </w:t>
      </w:r>
      <w:r w:rsidR="00774B1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774B1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я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1674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28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4250B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7C392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1674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 чем в  предыдущем месяце  текущего года</w:t>
      </w:r>
      <w:r w:rsidR="008947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947FD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774B1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7</w:t>
      </w:r>
      <w:r w:rsidR="008947FD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FE21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840E3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E21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</w:t>
      </w:r>
      <w:r w:rsidR="001674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34 </w:t>
      </w:r>
      <w:r w:rsidR="00FE21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1674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FE21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1674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87</w:t>
      </w:r>
      <w:r w:rsidR="00FE21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EB130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FE21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1674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="00FE21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чем в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аналогичном  периоде  202</w:t>
      </w:r>
      <w:r w:rsidR="001674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58047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</w:t>
      </w:r>
      <w:r w:rsidR="00EF4BD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r w:rsidR="001674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39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</w:p>
    <w:p w:rsidR="00A178E4" w:rsidRDefault="00346971" w:rsidP="00A178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178E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774B1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7533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-  обращения  с  личных  приемов - </w:t>
      </w:r>
      <w:r w:rsidR="00A178E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="00A7533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 </w:t>
      </w:r>
      <w:r w:rsidR="00A178E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22</w:t>
      </w:r>
      <w:r w:rsidR="00EF4BD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процент</w:t>
      </w:r>
      <w:r w:rsidR="00A178E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="00A7533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  <w:t xml:space="preserve">от общего объёма корреспонденции. </w:t>
      </w:r>
      <w:r w:rsidR="00A178E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на </w:t>
      </w:r>
      <w:r w:rsidR="00A178E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="00A178E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A178E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й </w:t>
      </w:r>
      <w:r w:rsidR="00A178E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A178E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45 </w:t>
      </w:r>
      <w:r w:rsidR="00A178E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A178E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 меньше</w:t>
      </w:r>
      <w:r w:rsidR="00A178E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 чем в  предыдущем месяце  текущего года</w:t>
      </w:r>
      <w:r w:rsidR="00A178E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178E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A178E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11</w:t>
      </w:r>
      <w:r w:rsidR="00A178E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A178E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="00A178E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A178E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r w:rsidR="00A178E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178E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1 обращение или 20  процентов больше чем в </w:t>
      </w:r>
      <w:r w:rsidR="00A178E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аналогичном  периоде  202</w:t>
      </w:r>
      <w:r w:rsidR="00A178E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3 </w:t>
      </w:r>
      <w:r w:rsidR="00A178E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</w:t>
      </w:r>
      <w:r w:rsidR="00A178E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178E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r w:rsidR="00A178E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="00A178E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</w:p>
    <w:p w:rsidR="00A178E4" w:rsidRDefault="00A178E4" w:rsidP="00A17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EC3EDA">
        <w:rPr>
          <w:rFonts w:ascii="Times New Roman" w:hAnsi="Times New Roman"/>
          <w:sz w:val="28"/>
          <w:szCs w:val="28"/>
        </w:rPr>
        <w:t xml:space="preserve">-  обращения на  «Прямую линию» - </w:t>
      </w:r>
      <w:r>
        <w:rPr>
          <w:rFonts w:ascii="Times New Roman" w:hAnsi="Times New Roman"/>
          <w:sz w:val="28"/>
          <w:szCs w:val="28"/>
        </w:rPr>
        <w:t>1</w:t>
      </w:r>
      <w:r w:rsidRPr="00EC3EDA">
        <w:rPr>
          <w:rFonts w:ascii="Times New Roman" w:hAnsi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/>
          <w:sz w:val="28"/>
          <w:szCs w:val="28"/>
        </w:rPr>
        <w:t>4</w:t>
      </w:r>
      <w:r w:rsidRPr="00EC3EDA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EC3EDA">
        <w:rPr>
          <w:rFonts w:ascii="Times New Roman" w:hAnsi="Times New Roman"/>
          <w:sz w:val="28"/>
          <w:szCs w:val="28"/>
        </w:rPr>
        <w:br/>
        <w:t xml:space="preserve">от   общего  объёма  корреспонденции. По сравнению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предыдущ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 месяце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текущего года</w:t>
      </w:r>
      <w:r w:rsidRPr="00EC3EDA">
        <w:rPr>
          <w:rFonts w:ascii="Times New Roman" w:hAnsi="Times New Roman"/>
          <w:sz w:val="28"/>
          <w:szCs w:val="28"/>
        </w:rPr>
        <w:t xml:space="preserve"> тенденция поступления обращений граждан </w:t>
      </w:r>
      <w:r>
        <w:rPr>
          <w:rFonts w:ascii="Times New Roman" w:hAnsi="Times New Roman"/>
          <w:sz w:val="28"/>
          <w:szCs w:val="28"/>
        </w:rPr>
        <w:t>на «Прямую линию»  сохранилась. В аналогичном периоде 2023 года обращения граждан на «Прямую линию не поступали».</w:t>
      </w:r>
    </w:p>
    <w:p w:rsidR="00A178E4" w:rsidRDefault="00A178E4" w:rsidP="00A178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78E4" w:rsidRDefault="00A178E4" w:rsidP="00A178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A178E4" w:rsidRDefault="00A178E4" w:rsidP="00A178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A178E4" w:rsidRDefault="00A178E4" w:rsidP="00A178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A178E4" w:rsidRDefault="00A178E4" w:rsidP="00A178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A178E4" w:rsidRDefault="00A178E4" w:rsidP="00A178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A178E4" w:rsidRDefault="00A178E4" w:rsidP="00A178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A178E4" w:rsidRDefault="00A178E4" w:rsidP="00A178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tbl>
      <w:tblPr>
        <w:tblW w:w="17952" w:type="dxa"/>
        <w:tblInd w:w="108" w:type="dxa"/>
        <w:tblLook w:val="04A0" w:firstRow="1" w:lastRow="0" w:firstColumn="1" w:lastColumn="0" w:noHBand="0" w:noVBand="1"/>
      </w:tblPr>
      <w:tblGrid>
        <w:gridCol w:w="20896"/>
        <w:gridCol w:w="976"/>
        <w:gridCol w:w="1176"/>
        <w:gridCol w:w="976"/>
        <w:gridCol w:w="976"/>
        <w:gridCol w:w="976"/>
        <w:gridCol w:w="1836"/>
        <w:gridCol w:w="976"/>
      </w:tblGrid>
      <w:tr w:rsidR="009A30B4" w:rsidRPr="009A30B4" w:rsidTr="00465D12">
        <w:trPr>
          <w:trHeight w:val="112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20680" w:type="dxa"/>
              <w:tblLook w:val="04A0" w:firstRow="1" w:lastRow="0" w:firstColumn="1" w:lastColumn="0" w:noHBand="0" w:noVBand="1"/>
            </w:tblPr>
            <w:tblGrid>
              <w:gridCol w:w="11812"/>
              <w:gridCol w:w="1176"/>
              <w:gridCol w:w="976"/>
              <w:gridCol w:w="976"/>
              <w:gridCol w:w="976"/>
              <w:gridCol w:w="976"/>
              <w:gridCol w:w="976"/>
              <w:gridCol w:w="1836"/>
              <w:gridCol w:w="976"/>
            </w:tblGrid>
            <w:tr w:rsidR="00465D12" w:rsidRPr="00465D12" w:rsidTr="00934ADE">
              <w:trPr>
                <w:trHeight w:val="600"/>
              </w:trPr>
              <w:tc>
                <w:tcPr>
                  <w:tcW w:w="11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11596" w:type="dxa"/>
                    <w:tblLook w:val="04A0" w:firstRow="1" w:lastRow="0" w:firstColumn="1" w:lastColumn="0" w:noHBand="0" w:noVBand="1"/>
                  </w:tblPr>
                  <w:tblGrid>
                    <w:gridCol w:w="976"/>
                    <w:gridCol w:w="976"/>
                    <w:gridCol w:w="976"/>
                    <w:gridCol w:w="976"/>
                    <w:gridCol w:w="976"/>
                    <w:gridCol w:w="976"/>
                    <w:gridCol w:w="976"/>
                    <w:gridCol w:w="1836"/>
                    <w:gridCol w:w="976"/>
                    <w:gridCol w:w="976"/>
                    <w:gridCol w:w="976"/>
                  </w:tblGrid>
                  <w:tr w:rsidR="00934ADE" w:rsidRPr="00934ADE" w:rsidTr="00934ADE">
                    <w:trPr>
                      <w:trHeight w:val="300"/>
                    </w:trPr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4ADE" w:rsidRPr="00934ADE" w:rsidRDefault="00934ADE" w:rsidP="00934A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4ADE" w:rsidRPr="00934ADE" w:rsidRDefault="00934ADE" w:rsidP="00934A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4ADE" w:rsidRPr="00934ADE" w:rsidRDefault="00934ADE" w:rsidP="00934A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4ADE" w:rsidRPr="00934ADE" w:rsidRDefault="00934ADE" w:rsidP="00934A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4ADE" w:rsidRPr="00934ADE" w:rsidRDefault="00934ADE" w:rsidP="00934A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4ADE" w:rsidRPr="00934ADE" w:rsidRDefault="00934ADE" w:rsidP="00934A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4ADE" w:rsidRPr="00934ADE" w:rsidRDefault="00934ADE" w:rsidP="00934A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4ADE" w:rsidRPr="00934ADE" w:rsidRDefault="00934ADE" w:rsidP="00934A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4ADE" w:rsidRPr="00934ADE" w:rsidRDefault="00934ADE" w:rsidP="00934A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4ADE" w:rsidRPr="00934ADE" w:rsidRDefault="00934ADE" w:rsidP="00934A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4ADE" w:rsidRPr="00934ADE" w:rsidRDefault="00934ADE" w:rsidP="00934A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</w:tr>
                  <w:tr w:rsidR="00934ADE" w:rsidRPr="00934ADE" w:rsidTr="00934ADE">
                    <w:trPr>
                      <w:trHeight w:val="600"/>
                    </w:trPr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4ADE" w:rsidRPr="00934ADE" w:rsidRDefault="00934ADE" w:rsidP="00934A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noProof/>
                            <w:color w:val="000000"/>
                          </w:rPr>
                          <w:drawing>
                            <wp:anchor distT="0" distB="0" distL="114300" distR="114300" simplePos="0" relativeHeight="251660288" behindDoc="0" locked="0" layoutInCell="1" allowOverlap="1" wp14:anchorId="56A5C7BE" wp14:editId="30ECB458">
                              <wp:simplePos x="0" y="0"/>
                              <wp:positionH relativeFrom="column">
                                <wp:posOffset>9525</wp:posOffset>
                              </wp:positionH>
                              <wp:positionV relativeFrom="paragraph">
                                <wp:posOffset>20955</wp:posOffset>
                              </wp:positionV>
                              <wp:extent cx="5275580" cy="2731770"/>
                              <wp:effectExtent l="0" t="0" r="20320" b="11430"/>
                              <wp:wrapNone/>
                              <wp:docPr id="7" name="Диаграмма 7"/>
                              <wp:cNvGraphicFramePr/>
                              <a:graphic xmlns:a="http://schemas.openxmlformats.org/drawingml/2006/main">
                                <a:graphicData uri="http://schemas.openxmlformats.org/drawingml/2006/chart">
                                  <c:chart xmlns:c="http://schemas.openxmlformats.org/drawingml/2006/chart" xmlns:r="http://schemas.openxmlformats.org/officeDocument/2006/relationships" r:id="rId7"/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10620" w:type="dxa"/>
                        <w:gridSpan w:val="10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4ADE" w:rsidRPr="00934ADE" w:rsidRDefault="00934ADE" w:rsidP="00934A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</w:tr>
                  <w:tr w:rsidR="00934ADE" w:rsidRPr="00934ADE" w:rsidTr="00934ADE">
                    <w:trPr>
                      <w:trHeight w:val="1125"/>
                    </w:trPr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4ADE" w:rsidRPr="00934ADE" w:rsidRDefault="00934ADE" w:rsidP="00934A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10620" w:type="dxa"/>
                        <w:gridSpan w:val="10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34ADE" w:rsidRPr="00934ADE" w:rsidRDefault="00934ADE" w:rsidP="00934A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</w:tr>
                  <w:tr w:rsidR="00934ADE" w:rsidRPr="00934ADE" w:rsidTr="00934ADE">
                    <w:trPr>
                      <w:trHeight w:val="1125"/>
                    </w:trPr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4ADE" w:rsidRPr="00934ADE" w:rsidRDefault="00934ADE" w:rsidP="00934A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10620" w:type="dxa"/>
                        <w:gridSpan w:val="10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34ADE" w:rsidRPr="00934ADE" w:rsidRDefault="00934ADE" w:rsidP="00934A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</w:tr>
                  <w:tr w:rsidR="00934ADE" w:rsidRPr="00934ADE" w:rsidTr="00934ADE">
                    <w:trPr>
                      <w:trHeight w:val="1500"/>
                    </w:trPr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4ADE" w:rsidRPr="00934ADE" w:rsidRDefault="00934ADE" w:rsidP="00934A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10620" w:type="dxa"/>
                        <w:gridSpan w:val="10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34ADE" w:rsidRPr="00934ADE" w:rsidRDefault="00934ADE" w:rsidP="00934A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</w:tr>
                </w:tbl>
                <w:p w:rsidR="00465D12" w:rsidRPr="00465D12" w:rsidRDefault="00465D12" w:rsidP="00465D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D12" w:rsidRPr="00465D12" w:rsidRDefault="00465D12" w:rsidP="00465D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465D12" w:rsidRPr="00465D12">
                    <w:trPr>
                      <w:trHeight w:val="600"/>
                      <w:tblCellSpacing w:w="0" w:type="dxa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5D12" w:rsidRPr="00465D12" w:rsidRDefault="00465D12" w:rsidP="00465D1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</w:tr>
                </w:tbl>
                <w:p w:rsidR="00465D12" w:rsidRPr="00465D12" w:rsidRDefault="00465D12" w:rsidP="00465D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D12" w:rsidRPr="00465D12" w:rsidRDefault="00465D12" w:rsidP="00465D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D12" w:rsidRPr="00465D12" w:rsidRDefault="00465D12" w:rsidP="00465D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D12" w:rsidRPr="00465D12" w:rsidRDefault="00465D12" w:rsidP="00465D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D12" w:rsidRPr="00465D12" w:rsidRDefault="00465D12" w:rsidP="00465D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D12" w:rsidRPr="00465D12" w:rsidRDefault="00465D12" w:rsidP="00465D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D12" w:rsidRPr="00465D12" w:rsidRDefault="00465D12" w:rsidP="00465D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D12" w:rsidRPr="00465D12" w:rsidRDefault="00465D12" w:rsidP="00465D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9A30B4" w:rsidRPr="009A30B4" w:rsidRDefault="009A30B4" w:rsidP="009A3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0B4" w:rsidRPr="009A30B4" w:rsidRDefault="009A30B4" w:rsidP="009A3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0B4" w:rsidRPr="009A30B4" w:rsidRDefault="009A30B4" w:rsidP="009A3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0B4" w:rsidRPr="009A30B4" w:rsidRDefault="009A30B4" w:rsidP="009A3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0B4" w:rsidRPr="009A30B4" w:rsidRDefault="009A30B4" w:rsidP="009A3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0B4" w:rsidRPr="009A30B4" w:rsidRDefault="009A30B4" w:rsidP="009A3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0B4" w:rsidRPr="009A30B4" w:rsidRDefault="009A30B4" w:rsidP="009A3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0B4" w:rsidRPr="009A30B4" w:rsidRDefault="009A30B4" w:rsidP="009A3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C77C51" w:rsidRDefault="00A7533C" w:rsidP="00C77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A7533C">
        <w:rPr>
          <w:rFonts w:ascii="Times New Roman" w:eastAsia="Times New Roman" w:hAnsi="Times New Roman" w:cs="Times New Roman"/>
          <w:sz w:val="28"/>
          <w:szCs w:val="28"/>
        </w:rPr>
        <w:t>За анализируемый период в  Администрацию муниципального образования «Город  Новоульяновск»  коллективн</w:t>
      </w:r>
      <w:r w:rsidR="000D333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128B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8B4">
        <w:rPr>
          <w:rFonts w:ascii="Times New Roman" w:eastAsia="Times New Roman" w:hAnsi="Times New Roman" w:cs="Times New Roman"/>
          <w:sz w:val="28"/>
          <w:szCs w:val="28"/>
        </w:rPr>
        <w:t xml:space="preserve">и повторные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3128B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="003128B4">
        <w:rPr>
          <w:rFonts w:ascii="Times New Roman" w:eastAsia="Times New Roman" w:hAnsi="Times New Roman" w:cs="Times New Roman"/>
          <w:sz w:val="28"/>
          <w:szCs w:val="28"/>
        </w:rPr>
        <w:t xml:space="preserve"> не поступали.</w:t>
      </w:r>
    </w:p>
    <w:p w:rsidR="00A7533C" w:rsidRPr="00A7533C" w:rsidRDefault="00A7533C" w:rsidP="00C77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Тематические приоритеты обращений зарегистрированных                                    в Администрации муниципального образования  «Город Новоульяновск»                     в  </w:t>
      </w:r>
      <w:r w:rsidR="00EB650D">
        <w:rPr>
          <w:rFonts w:ascii="Times New Roman" w:eastAsia="Times New Roman" w:hAnsi="Times New Roman" w:cs="Times New Roman"/>
          <w:sz w:val="28"/>
          <w:szCs w:val="28"/>
        </w:rPr>
        <w:t>августе</w:t>
      </w:r>
      <w:r w:rsidR="00A5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128B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 года  распределились  следующим  образом:</w:t>
      </w:r>
    </w:p>
    <w:p w:rsidR="00A7533C" w:rsidRPr="00A7533C" w:rsidRDefault="00A7533C" w:rsidP="00A75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«Экономика» -  </w:t>
      </w:r>
      <w:r w:rsidR="003128B4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3128B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 или  </w:t>
      </w:r>
      <w:r w:rsidR="003128B4">
        <w:rPr>
          <w:rFonts w:ascii="Times New Roman" w:eastAsia="Times New Roman" w:hAnsi="Times New Roman" w:cs="Times New Roman"/>
          <w:sz w:val="28"/>
          <w:szCs w:val="28"/>
        </w:rPr>
        <w:t>78</w:t>
      </w:r>
      <w:r w:rsidR="00FE60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>процент</w:t>
      </w:r>
      <w:r w:rsidR="003128B4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539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от общего  </w:t>
      </w:r>
      <w:r w:rsidR="005539FE">
        <w:rPr>
          <w:rFonts w:ascii="Times New Roman" w:eastAsia="Times New Roman" w:hAnsi="Times New Roman" w:cs="Times New Roman"/>
          <w:sz w:val="28"/>
          <w:szCs w:val="28"/>
        </w:rPr>
        <w:t>количества вопросов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39FE" w:rsidRPr="00A7533C" w:rsidRDefault="00A7533C" w:rsidP="00553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«Жилищно-коммунальная сфера» - </w:t>
      </w:r>
      <w:r w:rsidR="003128B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обращений  или </w:t>
      </w:r>
      <w:r w:rsidR="003128B4">
        <w:rPr>
          <w:rFonts w:ascii="Times New Roman" w:eastAsia="Times New Roman" w:hAnsi="Times New Roman" w:cs="Times New Roman"/>
          <w:sz w:val="28"/>
          <w:szCs w:val="28"/>
        </w:rPr>
        <w:t>18</w:t>
      </w:r>
      <w:r w:rsidR="003D4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>процент</w:t>
      </w:r>
      <w:r w:rsidR="003D477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A5269D">
        <w:rPr>
          <w:rFonts w:ascii="Times New Roman" w:eastAsia="Times New Roman" w:hAnsi="Times New Roman" w:cs="Times New Roman"/>
          <w:sz w:val="28"/>
          <w:szCs w:val="28"/>
        </w:rPr>
        <w:t xml:space="preserve"> от общего </w:t>
      </w:r>
      <w:r w:rsidR="005539FE">
        <w:rPr>
          <w:rFonts w:ascii="Times New Roman" w:eastAsia="Times New Roman" w:hAnsi="Times New Roman" w:cs="Times New Roman"/>
          <w:sz w:val="28"/>
          <w:szCs w:val="28"/>
        </w:rPr>
        <w:t>количества вопросов</w:t>
      </w:r>
      <w:r w:rsidR="005539FE" w:rsidRPr="00A753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39FE" w:rsidRDefault="00A7533C" w:rsidP="00553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3C">
        <w:rPr>
          <w:rFonts w:ascii="Times New Roman" w:eastAsia="Times New Roman" w:hAnsi="Times New Roman" w:cs="Times New Roman"/>
          <w:sz w:val="28"/>
          <w:szCs w:val="28"/>
        </w:rPr>
        <w:t>«Социальная сфера»</w:t>
      </w:r>
      <w:r w:rsidR="000B4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128B4">
        <w:rPr>
          <w:rFonts w:ascii="Times New Roman" w:eastAsia="Times New Roman" w:hAnsi="Times New Roman" w:cs="Times New Roman"/>
          <w:sz w:val="28"/>
          <w:szCs w:val="28"/>
        </w:rPr>
        <w:t>1</w:t>
      </w:r>
      <w:r w:rsidR="005539FE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6E29E4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539FE">
        <w:rPr>
          <w:rFonts w:ascii="Times New Roman" w:eastAsia="Times New Roman" w:hAnsi="Times New Roman" w:cs="Times New Roman"/>
          <w:sz w:val="28"/>
          <w:szCs w:val="28"/>
        </w:rPr>
        <w:t xml:space="preserve">  или  </w:t>
      </w:r>
      <w:r w:rsidR="003128B4">
        <w:rPr>
          <w:rFonts w:ascii="Times New Roman" w:eastAsia="Times New Roman" w:hAnsi="Times New Roman" w:cs="Times New Roman"/>
          <w:sz w:val="28"/>
          <w:szCs w:val="28"/>
        </w:rPr>
        <w:t>4</w:t>
      </w:r>
      <w:r w:rsidR="005539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B6D">
        <w:rPr>
          <w:rFonts w:ascii="Times New Roman" w:eastAsia="Times New Roman" w:hAnsi="Times New Roman" w:cs="Times New Roman"/>
          <w:sz w:val="28"/>
          <w:szCs w:val="28"/>
        </w:rPr>
        <w:t>процен</w:t>
      </w:r>
      <w:r w:rsidR="006E29E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128B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539FE">
        <w:rPr>
          <w:rFonts w:ascii="Times New Roman" w:eastAsia="Times New Roman" w:hAnsi="Times New Roman" w:cs="Times New Roman"/>
          <w:sz w:val="28"/>
          <w:szCs w:val="28"/>
        </w:rPr>
        <w:t>общего количества  вопросов</w:t>
      </w:r>
      <w:r w:rsidR="005539FE" w:rsidRPr="00A753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650D" w:rsidRDefault="00934ADE" w:rsidP="00553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Calibri"/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1EEC409B" wp14:editId="68772E15">
            <wp:simplePos x="0" y="0"/>
            <wp:positionH relativeFrom="column">
              <wp:posOffset>16510</wp:posOffset>
            </wp:positionH>
            <wp:positionV relativeFrom="paragraph">
              <wp:posOffset>169545</wp:posOffset>
            </wp:positionV>
            <wp:extent cx="5946140" cy="2914650"/>
            <wp:effectExtent l="0" t="0" r="16510" b="19050"/>
            <wp:wrapNone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50D" w:rsidRDefault="00EB650D" w:rsidP="00553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2392" w:type="dxa"/>
        <w:tblInd w:w="108" w:type="dxa"/>
        <w:tblLook w:val="04A0" w:firstRow="1" w:lastRow="0" w:firstColumn="1" w:lastColumn="0" w:noHBand="0" w:noVBand="1"/>
      </w:tblPr>
      <w:tblGrid>
        <w:gridCol w:w="165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934ADE" w:rsidRPr="00934ADE" w:rsidTr="00934ADE">
        <w:trPr>
          <w:trHeight w:val="18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</w:tblGrid>
            <w:tr w:rsidR="00934ADE" w:rsidRPr="00934ADE">
              <w:trPr>
                <w:trHeight w:val="1800"/>
                <w:tblCellSpacing w:w="0" w:type="dxa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4ADE" w:rsidRPr="00934ADE" w:rsidRDefault="00934ADE" w:rsidP="00934A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4ADE" w:rsidRPr="00934ADE" w:rsidTr="00934ADE">
        <w:trPr>
          <w:trHeight w:val="37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4ADE" w:rsidRPr="00934ADE" w:rsidTr="00934ADE">
        <w:trPr>
          <w:trHeight w:val="37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4ADE" w:rsidRPr="00934ADE" w:rsidTr="00934ADE">
        <w:trPr>
          <w:trHeight w:val="37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4ADE" w:rsidRPr="00934ADE" w:rsidTr="00934ADE">
        <w:trPr>
          <w:trHeight w:val="37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4ADE" w:rsidRPr="00934ADE" w:rsidTr="00934ADE">
        <w:trPr>
          <w:trHeight w:val="37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4ADE" w:rsidRPr="00934ADE" w:rsidTr="00934ADE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4ADE" w:rsidRPr="00934ADE" w:rsidTr="00934ADE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DE" w:rsidRPr="00934ADE" w:rsidRDefault="00934ADE" w:rsidP="0093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7533C" w:rsidRDefault="002E1B92" w:rsidP="00A7533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7533C" w:rsidRPr="00A7533C">
        <w:rPr>
          <w:rFonts w:ascii="Times New Roman" w:eastAsia="Times New Roman" w:hAnsi="Times New Roman" w:cs="Times New Roman"/>
          <w:sz w:val="28"/>
          <w:szCs w:val="28"/>
        </w:rPr>
        <w:t xml:space="preserve"> разрезе тематики обращений по с равнению с предыдущим </w:t>
      </w:r>
      <w:r w:rsidR="00A75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33C" w:rsidRPr="00A7533C">
        <w:rPr>
          <w:rFonts w:ascii="Times New Roman" w:eastAsia="Times New Roman" w:hAnsi="Times New Roman" w:cs="Times New Roman"/>
          <w:sz w:val="28"/>
          <w:szCs w:val="28"/>
        </w:rPr>
        <w:t xml:space="preserve">месяцем  </w:t>
      </w:r>
      <w:r w:rsidR="00BA626C">
        <w:rPr>
          <w:rFonts w:ascii="Times New Roman" w:eastAsia="Times New Roman" w:hAnsi="Times New Roman" w:cs="Times New Roman"/>
          <w:sz w:val="28"/>
          <w:szCs w:val="28"/>
        </w:rPr>
        <w:br/>
      </w:r>
      <w:r w:rsidR="00A7533C" w:rsidRPr="00A7533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28B4">
        <w:rPr>
          <w:rFonts w:ascii="Times New Roman" w:eastAsia="Times New Roman" w:hAnsi="Times New Roman" w:cs="Times New Roman"/>
          <w:sz w:val="28"/>
          <w:szCs w:val="28"/>
        </w:rPr>
        <w:t>4</w:t>
      </w:r>
      <w:r w:rsidR="00A7533C" w:rsidRPr="00A7533C">
        <w:rPr>
          <w:rFonts w:ascii="Times New Roman" w:eastAsia="Times New Roman" w:hAnsi="Times New Roman" w:cs="Times New Roman"/>
          <w:sz w:val="28"/>
          <w:szCs w:val="28"/>
        </w:rPr>
        <w:t xml:space="preserve"> г. и аналогичным  периодом  прошлого   года  прослеживается  следующая тенденция:</w:t>
      </w:r>
      <w:proofErr w:type="gramEnd"/>
    </w:p>
    <w:p w:rsidR="007074CD" w:rsidRDefault="007074CD" w:rsidP="00A7533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4CD" w:rsidRPr="00A7533C" w:rsidRDefault="007074CD" w:rsidP="00A7533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33C" w:rsidRPr="00A7533C" w:rsidRDefault="00A7533C" w:rsidP="00A7533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tbl>
      <w:tblPr>
        <w:tblpPr w:leftFromText="180" w:rightFromText="180" w:vertAnchor="text" w:horzAnchor="margin" w:tblpY="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1263"/>
        <w:gridCol w:w="1299"/>
        <w:gridCol w:w="1831"/>
        <w:gridCol w:w="1718"/>
        <w:gridCol w:w="1894"/>
      </w:tblGrid>
      <w:tr w:rsidR="007074CD" w:rsidRPr="00A7533C" w:rsidTr="00206324">
        <w:tc>
          <w:tcPr>
            <w:tcW w:w="1830" w:type="dxa"/>
            <w:shd w:val="clear" w:color="auto" w:fill="auto"/>
          </w:tcPr>
          <w:p w:rsidR="007074CD" w:rsidRPr="007074CD" w:rsidRDefault="007074CD" w:rsidP="002063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2562" w:type="dxa"/>
            <w:gridSpan w:val="2"/>
            <w:shd w:val="clear" w:color="auto" w:fill="auto"/>
          </w:tcPr>
          <w:p w:rsidR="007074CD" w:rsidRPr="007074CD" w:rsidRDefault="007074CD" w:rsidP="002063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CD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год</w:t>
            </w:r>
          </w:p>
        </w:tc>
        <w:tc>
          <w:tcPr>
            <w:tcW w:w="1831" w:type="dxa"/>
            <w:shd w:val="clear" w:color="auto" w:fill="auto"/>
          </w:tcPr>
          <w:p w:rsidR="007074CD" w:rsidRPr="007074CD" w:rsidRDefault="007074CD" w:rsidP="002063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CD">
              <w:rPr>
                <w:rFonts w:ascii="Times New Roman" w:hAnsi="Times New Roman" w:cs="Times New Roman"/>
                <w:b/>
                <w:sz w:val="24"/>
                <w:szCs w:val="24"/>
              </w:rPr>
              <w:t>Прошлый год</w:t>
            </w:r>
          </w:p>
        </w:tc>
        <w:tc>
          <w:tcPr>
            <w:tcW w:w="3612" w:type="dxa"/>
            <w:gridSpan w:val="2"/>
            <w:shd w:val="clear" w:color="auto" w:fill="auto"/>
          </w:tcPr>
          <w:p w:rsidR="007074CD" w:rsidRPr="007074CD" w:rsidRDefault="007074CD" w:rsidP="002063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CD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  <w:proofErr w:type="gramStart"/>
            <w:r w:rsidRPr="00707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7074CD" w:rsidRPr="00A7533C" w:rsidTr="00206324">
        <w:tc>
          <w:tcPr>
            <w:tcW w:w="1830" w:type="dxa"/>
            <w:shd w:val="clear" w:color="auto" w:fill="auto"/>
          </w:tcPr>
          <w:p w:rsidR="007074CD" w:rsidRPr="007074CD" w:rsidRDefault="007074CD" w:rsidP="002063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auto"/>
          </w:tcPr>
          <w:p w:rsidR="007074CD" w:rsidRPr="007074CD" w:rsidRDefault="007074CD" w:rsidP="00707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CD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7074CD" w:rsidRPr="007074CD" w:rsidRDefault="007074CD" w:rsidP="00312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202</w:t>
            </w:r>
            <w:r w:rsidR="003128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07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shd w:val="clear" w:color="auto" w:fill="auto"/>
          </w:tcPr>
          <w:p w:rsidR="007074CD" w:rsidRPr="007074CD" w:rsidRDefault="007074CD" w:rsidP="00707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CD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  <w:p w:rsidR="007074CD" w:rsidRPr="007074CD" w:rsidRDefault="007074CD" w:rsidP="00312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202</w:t>
            </w:r>
            <w:r w:rsidR="003128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07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31" w:type="dxa"/>
            <w:shd w:val="clear" w:color="auto" w:fill="auto"/>
          </w:tcPr>
          <w:p w:rsidR="007074CD" w:rsidRPr="007074CD" w:rsidRDefault="007074CD" w:rsidP="00707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CD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7074CD" w:rsidRPr="007074CD" w:rsidRDefault="007074CD" w:rsidP="00312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202</w:t>
            </w:r>
            <w:r w:rsidR="003128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074C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shd w:val="clear" w:color="auto" w:fill="auto"/>
          </w:tcPr>
          <w:p w:rsidR="007074CD" w:rsidRPr="007074CD" w:rsidRDefault="007074CD" w:rsidP="00707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CD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  <w:p w:rsidR="007074CD" w:rsidRPr="007074CD" w:rsidRDefault="007074CD" w:rsidP="00885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202</w:t>
            </w:r>
            <w:r w:rsidR="008850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07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shd w:val="clear" w:color="auto" w:fill="auto"/>
          </w:tcPr>
          <w:p w:rsidR="007074CD" w:rsidRPr="007074CD" w:rsidRDefault="007074CD" w:rsidP="00707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CD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7074CD" w:rsidRPr="007074CD" w:rsidRDefault="007074CD" w:rsidP="00885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202</w:t>
            </w:r>
            <w:r w:rsidR="008850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074C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3128B4" w:rsidRPr="00A7533C" w:rsidTr="00206324">
        <w:tc>
          <w:tcPr>
            <w:tcW w:w="1830" w:type="dxa"/>
            <w:shd w:val="clear" w:color="auto" w:fill="auto"/>
            <w:vAlign w:val="center"/>
          </w:tcPr>
          <w:p w:rsidR="003128B4" w:rsidRPr="007074CD" w:rsidRDefault="003128B4" w:rsidP="003128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CD">
              <w:rPr>
                <w:rFonts w:ascii="Times New Roman" w:hAnsi="Times New Roman" w:cs="Times New Roman"/>
                <w:b/>
                <w:sz w:val="24"/>
                <w:szCs w:val="24"/>
              </w:rPr>
              <w:t>«Жилищно-коммунальная сфера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2F29" w:rsidRDefault="00FA2F29" w:rsidP="003128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8B4" w:rsidRPr="007074CD" w:rsidRDefault="00FA2F29" w:rsidP="003128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2F29" w:rsidRDefault="00FA2F29" w:rsidP="003128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8B4" w:rsidRPr="007074CD" w:rsidRDefault="00FA2F29" w:rsidP="003128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FA2F29" w:rsidRDefault="00FA2F29" w:rsidP="003128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8B4" w:rsidRPr="007074CD" w:rsidRDefault="003128B4" w:rsidP="003128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2F29" w:rsidRDefault="00FA2F29" w:rsidP="00312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</w:p>
          <w:p w:rsidR="003128B4" w:rsidRPr="007074CD" w:rsidRDefault="003128B4" w:rsidP="00312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CD">
              <w:rPr>
                <w:rFonts w:ascii="Times New Roman" w:hAnsi="Times New Roman" w:cs="Times New Roman"/>
                <w:sz w:val="24"/>
                <w:szCs w:val="24"/>
              </w:rPr>
              <w:t xml:space="preserve">  на </w:t>
            </w:r>
            <w:r w:rsidR="00FA2F2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7074CD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 w:rsidR="00FA2F29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7074C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3128B4" w:rsidRPr="007074CD" w:rsidRDefault="00FA2F29" w:rsidP="00312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128B4" w:rsidRPr="007074CD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28B4" w:rsidRPr="007074CD" w:rsidRDefault="003128B4" w:rsidP="00312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CD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</w:p>
          <w:p w:rsidR="003128B4" w:rsidRPr="007074CD" w:rsidRDefault="003128B4" w:rsidP="00312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CD">
              <w:rPr>
                <w:rFonts w:ascii="Times New Roman" w:hAnsi="Times New Roman" w:cs="Times New Roman"/>
                <w:sz w:val="24"/>
                <w:szCs w:val="24"/>
              </w:rPr>
              <w:t xml:space="preserve"> на 1</w:t>
            </w:r>
            <w:r w:rsidR="00FA2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7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28B4" w:rsidRPr="007074CD" w:rsidRDefault="003128B4" w:rsidP="00312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CD">
              <w:rPr>
                <w:rFonts w:ascii="Times New Roman" w:hAnsi="Times New Roman" w:cs="Times New Roman"/>
                <w:sz w:val="24"/>
                <w:szCs w:val="24"/>
              </w:rPr>
              <w:t>обращен</w:t>
            </w:r>
            <w:r w:rsidR="00FA2F2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3128B4" w:rsidRPr="007074CD" w:rsidRDefault="003128B4" w:rsidP="00312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CD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3128B4" w:rsidRPr="007074CD" w:rsidRDefault="00FA2F29" w:rsidP="00312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3128B4" w:rsidRPr="007074CD">
              <w:rPr>
                <w:rFonts w:ascii="Times New Roman" w:hAnsi="Times New Roman" w:cs="Times New Roman"/>
                <w:sz w:val="24"/>
                <w:szCs w:val="24"/>
              </w:rPr>
              <w:t xml:space="preserve">  процентов</w:t>
            </w:r>
          </w:p>
        </w:tc>
      </w:tr>
      <w:tr w:rsidR="003128B4" w:rsidRPr="00A7533C" w:rsidTr="00206324">
        <w:tc>
          <w:tcPr>
            <w:tcW w:w="1830" w:type="dxa"/>
            <w:shd w:val="clear" w:color="auto" w:fill="auto"/>
            <w:vAlign w:val="center"/>
          </w:tcPr>
          <w:p w:rsidR="003128B4" w:rsidRPr="007074CD" w:rsidRDefault="003128B4" w:rsidP="003128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8B4" w:rsidRPr="007074CD" w:rsidRDefault="003128B4" w:rsidP="003128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CD">
              <w:rPr>
                <w:rFonts w:ascii="Times New Roman" w:hAnsi="Times New Roman" w:cs="Times New Roman"/>
                <w:b/>
                <w:sz w:val="24"/>
                <w:szCs w:val="24"/>
              </w:rPr>
              <w:t>«Экономика»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2F29" w:rsidRDefault="00FA2F29" w:rsidP="003128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8B4" w:rsidRPr="007074CD" w:rsidRDefault="00FA2F29" w:rsidP="003128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2F29" w:rsidRDefault="00FA2F29" w:rsidP="003128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8B4" w:rsidRPr="007074CD" w:rsidRDefault="00FA2F29" w:rsidP="003128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FA2F29" w:rsidRDefault="00FA2F29" w:rsidP="003128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8B4" w:rsidRPr="007074CD" w:rsidRDefault="003128B4" w:rsidP="003128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C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2F29" w:rsidRDefault="00FA2F29" w:rsidP="00FA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</w:p>
          <w:p w:rsidR="00FA2F29" w:rsidRDefault="00FA2F29" w:rsidP="00312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на 13</w:t>
            </w:r>
          </w:p>
          <w:p w:rsidR="003128B4" w:rsidRPr="007074CD" w:rsidRDefault="003128B4" w:rsidP="00312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CD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или</w:t>
            </w:r>
          </w:p>
          <w:p w:rsidR="003128B4" w:rsidRPr="007074CD" w:rsidRDefault="00FA2F29" w:rsidP="00FA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128B4" w:rsidRPr="007074CD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2F29" w:rsidRDefault="00FA2F29" w:rsidP="00FA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</w:p>
          <w:p w:rsidR="003128B4" w:rsidRPr="007074CD" w:rsidRDefault="003128B4" w:rsidP="00312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CD">
              <w:rPr>
                <w:rFonts w:ascii="Times New Roman" w:hAnsi="Times New Roman" w:cs="Times New Roman"/>
                <w:sz w:val="24"/>
                <w:szCs w:val="24"/>
              </w:rPr>
              <w:t>на 3</w:t>
            </w:r>
            <w:r w:rsidR="00FA2F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128B4" w:rsidRPr="007074CD" w:rsidRDefault="003128B4" w:rsidP="00312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CD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обращений  </w:t>
            </w:r>
          </w:p>
          <w:p w:rsidR="003128B4" w:rsidRPr="007074CD" w:rsidRDefault="003128B4" w:rsidP="00312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C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3128B4" w:rsidRPr="007074CD" w:rsidRDefault="00FA2F29" w:rsidP="00312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3128B4" w:rsidRPr="007074CD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</w:t>
            </w:r>
          </w:p>
        </w:tc>
      </w:tr>
      <w:tr w:rsidR="003128B4" w:rsidRPr="00A7533C" w:rsidTr="00206324">
        <w:tc>
          <w:tcPr>
            <w:tcW w:w="1830" w:type="dxa"/>
            <w:shd w:val="clear" w:color="auto" w:fill="auto"/>
            <w:vAlign w:val="center"/>
          </w:tcPr>
          <w:p w:rsidR="003128B4" w:rsidRPr="007074CD" w:rsidRDefault="003128B4" w:rsidP="003128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8B4" w:rsidRPr="007074CD" w:rsidRDefault="003128B4" w:rsidP="003128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CD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«Социальная сфера»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2F29" w:rsidRDefault="00FA2F29" w:rsidP="00FA2F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8B4" w:rsidRPr="007074CD" w:rsidRDefault="003128B4" w:rsidP="00FA2F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28B4" w:rsidRDefault="003128B4" w:rsidP="003128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F29" w:rsidRPr="007074CD" w:rsidRDefault="00FA2F29" w:rsidP="003128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FA2F29" w:rsidRDefault="00FA2F29" w:rsidP="003128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8B4" w:rsidRPr="007074CD" w:rsidRDefault="003128B4" w:rsidP="003128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28B4" w:rsidRPr="007074CD" w:rsidRDefault="00FA2F29" w:rsidP="00312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CD">
              <w:rPr>
                <w:rFonts w:ascii="Times New Roman" w:hAnsi="Times New Roman" w:cs="Times New Roman"/>
                <w:sz w:val="24"/>
                <w:szCs w:val="24"/>
              </w:rPr>
              <w:t>Тенденция поступлений обращений сохранилась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2F29" w:rsidRDefault="00FA2F29" w:rsidP="00FA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</w:p>
          <w:p w:rsidR="00FA2F29" w:rsidRDefault="00FA2F29" w:rsidP="00FA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на 9</w:t>
            </w:r>
          </w:p>
          <w:p w:rsidR="00FA2F29" w:rsidRDefault="00FA2F29" w:rsidP="00FA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CD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</w:t>
            </w:r>
          </w:p>
          <w:p w:rsidR="00FA2F29" w:rsidRPr="007074CD" w:rsidRDefault="00FA2F29" w:rsidP="00FA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C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3128B4" w:rsidRPr="007074CD" w:rsidRDefault="00FA2F29" w:rsidP="00FA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7074CD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3128B4" w:rsidRPr="00A7533C" w:rsidTr="00206324">
        <w:tc>
          <w:tcPr>
            <w:tcW w:w="1830" w:type="dxa"/>
            <w:shd w:val="clear" w:color="auto" w:fill="auto"/>
            <w:vAlign w:val="center"/>
          </w:tcPr>
          <w:p w:rsidR="003128B4" w:rsidRPr="007074CD" w:rsidRDefault="003128B4" w:rsidP="003128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CD">
              <w:rPr>
                <w:rFonts w:ascii="Times New Roman" w:hAnsi="Times New Roman" w:cs="Times New Roman"/>
                <w:b/>
                <w:sz w:val="24"/>
                <w:szCs w:val="24"/>
              </w:rPr>
              <w:t>«Оборона, безопасность, законность»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28B4" w:rsidRPr="007074CD" w:rsidRDefault="00FA2F29" w:rsidP="003128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28B4" w:rsidRPr="007074CD" w:rsidRDefault="00FA2F29" w:rsidP="003128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3128B4" w:rsidRPr="007074CD" w:rsidRDefault="003128B4" w:rsidP="003128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28B4" w:rsidRPr="007074CD" w:rsidRDefault="003128B4" w:rsidP="00312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28B4" w:rsidRPr="007074CD" w:rsidRDefault="003128B4" w:rsidP="00312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8B4" w:rsidRPr="00A7533C" w:rsidTr="00206324">
        <w:tc>
          <w:tcPr>
            <w:tcW w:w="1830" w:type="dxa"/>
            <w:shd w:val="clear" w:color="auto" w:fill="auto"/>
            <w:vAlign w:val="center"/>
          </w:tcPr>
          <w:p w:rsidR="003128B4" w:rsidRPr="007074CD" w:rsidRDefault="003128B4" w:rsidP="003128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CD">
              <w:rPr>
                <w:rFonts w:ascii="Times New Roman" w:hAnsi="Times New Roman" w:cs="Times New Roman"/>
                <w:b/>
                <w:sz w:val="24"/>
                <w:szCs w:val="24"/>
              </w:rPr>
              <w:t>«Государство, общество, политика»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28B4" w:rsidRPr="007074CD" w:rsidRDefault="00FA2F29" w:rsidP="003128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28B4" w:rsidRPr="007074CD" w:rsidRDefault="00FA2F29" w:rsidP="003128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3128B4" w:rsidRPr="007074CD" w:rsidRDefault="003128B4" w:rsidP="003128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28B4" w:rsidRPr="007074CD" w:rsidRDefault="00FA2F29" w:rsidP="00312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28B4" w:rsidRPr="007074CD" w:rsidRDefault="00FA2F29" w:rsidP="00312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7533C" w:rsidRPr="00A7533C" w:rsidRDefault="00A7533C" w:rsidP="00A7533C">
      <w:pPr>
        <w:tabs>
          <w:tab w:val="left" w:pos="3518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3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A2F29" w:rsidRDefault="00FA2F29" w:rsidP="00FA2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3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A7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тематическом разделе «Жилищно-коммунальная сфера»  преобладали  вопросы</w:t>
      </w:r>
      <w:r>
        <w:rPr>
          <w:rFonts w:ascii="Times New Roman" w:eastAsia="Times New Roman" w:hAnsi="Times New Roman" w:cs="Times New Roman"/>
          <w:sz w:val="28"/>
          <w:szCs w:val="28"/>
        </w:rPr>
        <w:t>: вывоза мусора с контейнерной площадки,</w:t>
      </w:r>
      <w:r w:rsidRPr="00FA2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переселения</w:t>
      </w:r>
      <w:r w:rsidR="00DA4871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eastAsia="Times New Roman" w:hAnsi="Times New Roman" w:cs="Times New Roman"/>
          <w:sz w:val="28"/>
          <w:szCs w:val="28"/>
        </w:rPr>
        <w:t>аварин</w:t>
      </w:r>
      <w:r w:rsidR="00DA4871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</w:t>
      </w:r>
      <w:r w:rsidR="00DA487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181CB9">
        <w:rPr>
          <w:rFonts w:ascii="Times New Roman" w:eastAsia="Times New Roman" w:hAnsi="Times New Roman" w:cs="Times New Roman"/>
          <w:sz w:val="28"/>
          <w:szCs w:val="28"/>
        </w:rPr>
        <w:t>еребо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 w:rsidRPr="00181CB9">
        <w:rPr>
          <w:rFonts w:ascii="Times New Roman" w:eastAsia="Times New Roman" w:hAnsi="Times New Roman" w:cs="Times New Roman"/>
          <w:sz w:val="28"/>
          <w:szCs w:val="28"/>
        </w:rPr>
        <w:t xml:space="preserve"> в водоснабжении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A1905">
        <w:rPr>
          <w:rFonts w:ascii="Times New Roman" w:eastAsia="Times New Roman" w:hAnsi="Times New Roman" w:cs="Times New Roman"/>
          <w:sz w:val="28"/>
          <w:szCs w:val="28"/>
        </w:rPr>
        <w:t xml:space="preserve">оплаты </w:t>
      </w:r>
      <w:r w:rsidR="00424256">
        <w:rPr>
          <w:rFonts w:ascii="Times New Roman" w:eastAsia="Times New Roman" w:hAnsi="Times New Roman" w:cs="Times New Roman"/>
          <w:sz w:val="28"/>
          <w:szCs w:val="28"/>
        </w:rPr>
        <w:br/>
      </w:r>
      <w:r w:rsidRPr="000A1905">
        <w:rPr>
          <w:rFonts w:ascii="Times New Roman" w:eastAsia="Times New Roman" w:hAnsi="Times New Roman" w:cs="Times New Roman"/>
          <w:sz w:val="28"/>
          <w:szCs w:val="28"/>
        </w:rPr>
        <w:t>жилищно-коммунальных услуг,</w:t>
      </w:r>
      <w:r w:rsidR="00424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871">
        <w:rPr>
          <w:rFonts w:ascii="Times New Roman" w:eastAsia="Times New Roman" w:hAnsi="Times New Roman" w:cs="Times New Roman"/>
          <w:sz w:val="28"/>
          <w:szCs w:val="28"/>
        </w:rPr>
        <w:t xml:space="preserve">ликвидации </w:t>
      </w:r>
      <w:r w:rsidR="00424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87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A4871" w:rsidRPr="00DA4871">
        <w:rPr>
          <w:rFonts w:ascii="Times New Roman" w:eastAsia="Times New Roman" w:hAnsi="Times New Roman" w:cs="Times New Roman"/>
          <w:sz w:val="28"/>
          <w:szCs w:val="28"/>
        </w:rPr>
        <w:t>есанкционированн</w:t>
      </w:r>
      <w:r w:rsidR="00DA4871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DA4871" w:rsidRPr="00DA4871">
        <w:rPr>
          <w:rFonts w:ascii="Times New Roman" w:eastAsia="Times New Roman" w:hAnsi="Times New Roman" w:cs="Times New Roman"/>
          <w:sz w:val="28"/>
          <w:szCs w:val="28"/>
        </w:rPr>
        <w:t xml:space="preserve"> свалк</w:t>
      </w:r>
      <w:r w:rsidR="00DA4871">
        <w:rPr>
          <w:rFonts w:ascii="Times New Roman" w:eastAsia="Times New Roman" w:hAnsi="Times New Roman" w:cs="Times New Roman"/>
          <w:sz w:val="28"/>
          <w:szCs w:val="28"/>
        </w:rPr>
        <w:t>и мусора.</w:t>
      </w:r>
    </w:p>
    <w:p w:rsidR="00FA2F29" w:rsidRDefault="00FA2F29" w:rsidP="00FA2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7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 тематическом   разделе  «Экономика»   преобладали   вопросы: </w:t>
      </w:r>
    </w:p>
    <w:p w:rsidR="00DA4871" w:rsidRDefault="00424256" w:rsidP="00FA2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4256">
        <w:rPr>
          <w:rFonts w:ascii="Times New Roman" w:eastAsia="Times New Roman" w:hAnsi="Times New Roman" w:cs="Times New Roman"/>
          <w:b/>
          <w:sz w:val="28"/>
          <w:szCs w:val="28"/>
        </w:rPr>
        <w:t>7 обращений</w:t>
      </w:r>
      <w:r w:rsidRPr="00424256">
        <w:rPr>
          <w:rFonts w:ascii="Times New Roman" w:eastAsia="Times New Roman" w:hAnsi="Times New Roman" w:cs="Times New Roman"/>
          <w:sz w:val="28"/>
          <w:szCs w:val="28"/>
        </w:rPr>
        <w:t xml:space="preserve"> по восстановлению уличного освещения,</w:t>
      </w:r>
      <w:r w:rsidRPr="004242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FA2F29" w:rsidRPr="00206E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A2F29" w:rsidRPr="00206E64">
        <w:rPr>
          <w:rFonts w:ascii="Times New Roman" w:hAnsi="Times New Roman"/>
          <w:b/>
          <w:sz w:val="28"/>
          <w:szCs w:val="28"/>
        </w:rPr>
        <w:t>обращени</w:t>
      </w:r>
      <w:r>
        <w:rPr>
          <w:rFonts w:ascii="Times New Roman" w:hAnsi="Times New Roman"/>
          <w:b/>
          <w:sz w:val="28"/>
          <w:szCs w:val="28"/>
        </w:rPr>
        <w:t>й</w:t>
      </w:r>
      <w:r w:rsidR="00FA2F29" w:rsidRPr="00EC3E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FA2F29" w:rsidRPr="00EC3EDA">
        <w:rPr>
          <w:rFonts w:ascii="Times New Roman" w:hAnsi="Times New Roman"/>
          <w:sz w:val="28"/>
          <w:szCs w:val="28"/>
        </w:rPr>
        <w:t>по рассмотрению земельно-правовых отношений (</w:t>
      </w:r>
      <w:r w:rsidR="00FA2F29">
        <w:rPr>
          <w:rFonts w:ascii="Times New Roman" w:hAnsi="Times New Roman"/>
          <w:sz w:val="28"/>
          <w:szCs w:val="28"/>
        </w:rPr>
        <w:t>2 обращения</w:t>
      </w:r>
      <w:r w:rsidRPr="00424256">
        <w:rPr>
          <w:rFonts w:ascii="Times New Roman" w:hAnsi="Times New Roman"/>
          <w:sz w:val="28"/>
          <w:szCs w:val="28"/>
        </w:rPr>
        <w:t xml:space="preserve"> </w:t>
      </w:r>
      <w:r w:rsidRPr="00EC3EDA">
        <w:rPr>
          <w:rFonts w:ascii="Times New Roman" w:hAnsi="Times New Roman"/>
          <w:sz w:val="28"/>
          <w:szCs w:val="28"/>
        </w:rPr>
        <w:t>по установлению границ земельного участка</w:t>
      </w:r>
      <w:r w:rsidR="00FA2F2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 обращения по рассмотрению земельных споров, 1</w:t>
      </w:r>
      <w:r w:rsidR="00FA2F29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е</w:t>
      </w:r>
      <w:r w:rsidR="00FA2F29">
        <w:rPr>
          <w:rFonts w:ascii="Times New Roman" w:hAnsi="Times New Roman"/>
          <w:sz w:val="28"/>
          <w:szCs w:val="28"/>
        </w:rPr>
        <w:t xml:space="preserve"> по оформлению земельн</w:t>
      </w:r>
      <w:r>
        <w:rPr>
          <w:rFonts w:ascii="Times New Roman" w:hAnsi="Times New Roman"/>
          <w:sz w:val="28"/>
          <w:szCs w:val="28"/>
        </w:rPr>
        <w:t xml:space="preserve">ого участка </w:t>
      </w:r>
      <w:r w:rsidR="00DA4871">
        <w:rPr>
          <w:rFonts w:ascii="Times New Roman" w:hAnsi="Times New Roman"/>
          <w:sz w:val="28"/>
          <w:szCs w:val="28"/>
        </w:rPr>
        <w:br/>
      </w:r>
      <w:r w:rsidR="00FA2F29">
        <w:rPr>
          <w:rFonts w:ascii="Times New Roman" w:hAnsi="Times New Roman"/>
          <w:sz w:val="28"/>
          <w:szCs w:val="28"/>
        </w:rPr>
        <w:t>в собственность</w:t>
      </w:r>
      <w:r w:rsidR="00FA2F29" w:rsidRPr="00EC3EDA">
        <w:rPr>
          <w:rFonts w:ascii="Times New Roman" w:hAnsi="Times New Roman"/>
          <w:sz w:val="28"/>
          <w:szCs w:val="28"/>
        </w:rPr>
        <w:t>)</w:t>
      </w:r>
      <w:r w:rsidR="00FA2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A487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 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отсыпке дорог, </w:t>
      </w:r>
      <w:r w:rsidR="00FA2F29" w:rsidRPr="00206E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так же вопросы:</w:t>
      </w:r>
      <w:r w:rsidR="00FA2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4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отсутствию контрольных весов для взвешивания товара  в магазин</w:t>
      </w:r>
      <w:r w:rsidR="00DA4871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«Магнит»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A4871">
        <w:rPr>
          <w:rFonts w:ascii="Times New Roman" w:hAnsi="Times New Roman" w:cs="Times New Roman"/>
          <w:sz w:val="28"/>
          <w:szCs w:val="28"/>
        </w:rPr>
        <w:t xml:space="preserve"> ремонта дорожного покрытия, уборки мусора, образовавшегося после проведения</w:t>
      </w:r>
      <w:proofErr w:type="gramEnd"/>
      <w:r w:rsidR="00DA4871">
        <w:rPr>
          <w:rFonts w:ascii="Times New Roman" w:hAnsi="Times New Roman" w:cs="Times New Roman"/>
          <w:sz w:val="28"/>
          <w:szCs w:val="28"/>
        </w:rPr>
        <w:t xml:space="preserve"> работ по </w:t>
      </w:r>
      <w:proofErr w:type="spellStart"/>
      <w:r w:rsidR="00DA4871">
        <w:rPr>
          <w:rFonts w:ascii="Times New Roman" w:hAnsi="Times New Roman" w:cs="Times New Roman"/>
          <w:sz w:val="28"/>
          <w:szCs w:val="28"/>
        </w:rPr>
        <w:t>грейдированию</w:t>
      </w:r>
      <w:proofErr w:type="spellEnd"/>
      <w:r w:rsidR="00DA4871">
        <w:rPr>
          <w:rFonts w:ascii="Times New Roman" w:hAnsi="Times New Roman" w:cs="Times New Roman"/>
          <w:sz w:val="28"/>
          <w:szCs w:val="28"/>
        </w:rPr>
        <w:t xml:space="preserve"> дороги, установки детской площадки на придомовой территории многоквартирного дома, организации транспортного маршрута, организации места для выгула домашних животных, загрязнению окружающей среды.</w:t>
      </w:r>
    </w:p>
    <w:p w:rsidR="00FA2F29" w:rsidRDefault="00FA2F29" w:rsidP="00DA4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 тематическом   разделе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EC4C3F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Социальная сфера</w:t>
      </w:r>
      <w:r w:rsidRPr="00EC4C3F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C4C3F">
        <w:rPr>
          <w:rFonts w:ascii="Times New Roman" w:hAnsi="Times New Roman" w:cs="Times New Roman"/>
          <w:b/>
          <w:sz w:val="28"/>
          <w:szCs w:val="28"/>
          <w:u w:val="single"/>
        </w:rPr>
        <w:t>преобладали  вопросы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06E64">
        <w:rPr>
          <w:rFonts w:ascii="Times New Roman" w:hAnsi="Times New Roman" w:cs="Times New Roman"/>
          <w:sz w:val="28"/>
          <w:szCs w:val="28"/>
        </w:rPr>
        <w:t xml:space="preserve">по </w:t>
      </w:r>
      <w:r w:rsidR="00885016">
        <w:rPr>
          <w:rFonts w:ascii="Times New Roman" w:hAnsi="Times New Roman" w:cs="Times New Roman"/>
          <w:sz w:val="28"/>
          <w:szCs w:val="28"/>
        </w:rPr>
        <w:t>исполнению родительских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533C" w:rsidRDefault="00E60770" w:rsidP="00116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4CB9">
        <w:rPr>
          <w:rFonts w:ascii="Times New Roman" w:eastAsia="Times New Roman" w:hAnsi="Times New Roman" w:cs="Times New Roman"/>
          <w:sz w:val="28"/>
          <w:szCs w:val="28"/>
        </w:rPr>
        <w:tab/>
      </w:r>
      <w:r w:rsidR="00A7533C" w:rsidRPr="00A7533C">
        <w:rPr>
          <w:rFonts w:ascii="Times New Roman" w:eastAsia="Times New Roman" w:hAnsi="Times New Roman" w:cs="Times New Roman"/>
          <w:sz w:val="28"/>
          <w:szCs w:val="28"/>
        </w:rPr>
        <w:t xml:space="preserve">Анализ  результативности  рассмотрения  поступивших  обращений  показал, что </w:t>
      </w:r>
      <w:r w:rsidR="00885016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C7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33C" w:rsidRPr="00A7533C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885016">
        <w:rPr>
          <w:rFonts w:ascii="Times New Roman" w:eastAsia="Times New Roman" w:hAnsi="Times New Roman" w:cs="Times New Roman"/>
          <w:sz w:val="28"/>
          <w:szCs w:val="28"/>
        </w:rPr>
        <w:t>й</w:t>
      </w:r>
      <w:r w:rsidR="00A7533C" w:rsidRPr="00A7533C">
        <w:rPr>
          <w:rFonts w:ascii="Times New Roman" w:eastAsia="Times New Roman" w:hAnsi="Times New Roman" w:cs="Times New Roman"/>
          <w:sz w:val="28"/>
          <w:szCs w:val="28"/>
        </w:rPr>
        <w:t xml:space="preserve">  находится  в  работе согласно установленным срокам, по </w:t>
      </w:r>
      <w:r w:rsidR="00885016">
        <w:rPr>
          <w:rFonts w:ascii="Times New Roman" w:eastAsia="Times New Roman" w:hAnsi="Times New Roman" w:cs="Times New Roman"/>
          <w:sz w:val="28"/>
          <w:szCs w:val="28"/>
        </w:rPr>
        <w:t>1</w:t>
      </w:r>
      <w:r w:rsidR="00F5517E">
        <w:rPr>
          <w:rFonts w:ascii="Times New Roman" w:eastAsia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A7533C" w:rsidRPr="00A7533C">
        <w:rPr>
          <w:rFonts w:ascii="Times New Roman" w:eastAsia="Times New Roman" w:hAnsi="Times New Roman" w:cs="Times New Roman"/>
          <w:sz w:val="28"/>
          <w:szCs w:val="28"/>
        </w:rPr>
        <w:t xml:space="preserve"> обращениям заявителям были даны ответы разъяснительного характера в соответствии  с законодательством. </w:t>
      </w:r>
    </w:p>
    <w:p w:rsidR="00F5517E" w:rsidRDefault="00F5517E" w:rsidP="00F5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По одному  обращению было принято положительное решение (восстановление уличного освещения). </w:t>
      </w:r>
    </w:p>
    <w:p w:rsidR="000C0F70" w:rsidRDefault="00F5517E" w:rsidP="00F551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0C0F70" w:rsidRPr="007C203E">
        <w:rPr>
          <w:rFonts w:ascii="Times New Roman" w:eastAsia="Times New Roman" w:hAnsi="Times New Roman" w:cs="Times New Roman"/>
          <w:sz w:val="28"/>
          <w:szCs w:val="28"/>
        </w:rPr>
        <w:t xml:space="preserve">ак же по </w:t>
      </w:r>
      <w:r w:rsidR="00885016">
        <w:rPr>
          <w:rFonts w:ascii="Times New Roman" w:eastAsia="Times New Roman" w:hAnsi="Times New Roman" w:cs="Times New Roman"/>
          <w:sz w:val="28"/>
          <w:szCs w:val="28"/>
        </w:rPr>
        <w:t>5</w:t>
      </w:r>
      <w:r w:rsidR="00E419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F70" w:rsidRPr="007C203E">
        <w:rPr>
          <w:rFonts w:ascii="Times New Roman" w:eastAsia="Times New Roman" w:hAnsi="Times New Roman" w:cs="Times New Roman"/>
          <w:sz w:val="28"/>
          <w:szCs w:val="28"/>
        </w:rPr>
        <w:t xml:space="preserve">обращениям, которые находились на внутреннем контроле </w:t>
      </w:r>
      <w:r w:rsidR="000C0F70" w:rsidRPr="007C203E">
        <w:rPr>
          <w:rFonts w:ascii="Times New Roman" w:eastAsia="Times New Roman" w:hAnsi="Times New Roman" w:cs="Times New Roman"/>
          <w:sz w:val="28"/>
          <w:szCs w:val="28"/>
        </w:rPr>
        <w:br/>
        <w:t>у специалистов отдела капитального строительства, ТЭР и ЖКХ меры были выполнены в полном объёме (</w:t>
      </w:r>
      <w:r w:rsidR="00885016">
        <w:rPr>
          <w:rFonts w:ascii="Times New Roman" w:eastAsia="Times New Roman" w:hAnsi="Times New Roman" w:cs="Times New Roman"/>
          <w:sz w:val="28"/>
          <w:szCs w:val="28"/>
        </w:rPr>
        <w:t xml:space="preserve">проведены работы по </w:t>
      </w:r>
      <w:proofErr w:type="spellStart"/>
      <w:r w:rsidR="00885016">
        <w:rPr>
          <w:rFonts w:ascii="Times New Roman" w:eastAsia="Times New Roman" w:hAnsi="Times New Roman" w:cs="Times New Roman"/>
          <w:sz w:val="28"/>
          <w:szCs w:val="28"/>
        </w:rPr>
        <w:t>грейдированию</w:t>
      </w:r>
      <w:proofErr w:type="spellEnd"/>
      <w:r w:rsidR="00885016">
        <w:rPr>
          <w:rFonts w:ascii="Times New Roman" w:eastAsia="Times New Roman" w:hAnsi="Times New Roman" w:cs="Times New Roman"/>
          <w:sz w:val="28"/>
          <w:szCs w:val="28"/>
        </w:rPr>
        <w:t xml:space="preserve"> дорог,</w:t>
      </w:r>
      <w:proofErr w:type="gramEnd"/>
      <w:r w:rsidR="00885016">
        <w:rPr>
          <w:rFonts w:ascii="Times New Roman" w:eastAsia="Times New Roman" w:hAnsi="Times New Roman" w:cs="Times New Roman"/>
          <w:sz w:val="28"/>
          <w:szCs w:val="28"/>
        </w:rPr>
        <w:t xml:space="preserve"> произведены работы по сносу зеленого насаждения</w:t>
      </w:r>
      <w:r w:rsidR="000C0F70" w:rsidRPr="007C203E">
        <w:rPr>
          <w:rFonts w:ascii="Times New Roman" w:eastAsia="Times New Roman" w:hAnsi="Times New Roman" w:cs="Times New Roman"/>
          <w:sz w:val="28"/>
          <w:szCs w:val="28"/>
        </w:rPr>
        <w:t>)</w:t>
      </w:r>
      <w:r w:rsidR="008850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22AE" w:rsidRPr="00F327A0" w:rsidRDefault="00A7533C" w:rsidP="00A75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sectPr w:rsidR="00A922AE" w:rsidRPr="00F327A0" w:rsidSect="001A3FA1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D30"/>
    <w:multiLevelType w:val="hybridMultilevel"/>
    <w:tmpl w:val="9544C598"/>
    <w:lvl w:ilvl="0" w:tplc="8BB07E5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50A0D0D"/>
    <w:multiLevelType w:val="hybridMultilevel"/>
    <w:tmpl w:val="D6D64E94"/>
    <w:lvl w:ilvl="0" w:tplc="5B38CB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F2418D"/>
    <w:multiLevelType w:val="hybridMultilevel"/>
    <w:tmpl w:val="6F94F198"/>
    <w:lvl w:ilvl="0" w:tplc="FB884D78">
      <w:start w:val="1"/>
      <w:numFmt w:val="decimal"/>
      <w:lvlText w:val="%1."/>
      <w:lvlJc w:val="left"/>
      <w:pPr>
        <w:ind w:left="495" w:hanging="495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62A3400"/>
    <w:multiLevelType w:val="hybridMultilevel"/>
    <w:tmpl w:val="E5BCE058"/>
    <w:lvl w:ilvl="0" w:tplc="04FEDEA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328272B"/>
    <w:multiLevelType w:val="hybridMultilevel"/>
    <w:tmpl w:val="8E967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C4106"/>
    <w:multiLevelType w:val="hybridMultilevel"/>
    <w:tmpl w:val="1922A1FE"/>
    <w:lvl w:ilvl="0" w:tplc="F24A872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974010"/>
    <w:multiLevelType w:val="hybridMultilevel"/>
    <w:tmpl w:val="F77C08DA"/>
    <w:lvl w:ilvl="0" w:tplc="BCB4EC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E0D6324"/>
    <w:multiLevelType w:val="hybridMultilevel"/>
    <w:tmpl w:val="C0EEF3B0"/>
    <w:lvl w:ilvl="0" w:tplc="BEA8B2B8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36604D"/>
    <w:multiLevelType w:val="hybridMultilevel"/>
    <w:tmpl w:val="45F403C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3E700A58"/>
    <w:multiLevelType w:val="hybridMultilevel"/>
    <w:tmpl w:val="932C7552"/>
    <w:lvl w:ilvl="0" w:tplc="2F588C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>
    <w:nsid w:val="509F394F"/>
    <w:multiLevelType w:val="hybridMultilevel"/>
    <w:tmpl w:val="A300E7DC"/>
    <w:lvl w:ilvl="0" w:tplc="6512D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F25B29"/>
    <w:multiLevelType w:val="hybridMultilevel"/>
    <w:tmpl w:val="5DD40F92"/>
    <w:lvl w:ilvl="0" w:tplc="84A67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A579D4"/>
    <w:multiLevelType w:val="hybridMultilevel"/>
    <w:tmpl w:val="B68227DA"/>
    <w:lvl w:ilvl="0" w:tplc="46DCEBFE">
      <w:start w:val="1"/>
      <w:numFmt w:val="decimal"/>
      <w:lvlText w:val="%1."/>
      <w:lvlJc w:val="left"/>
      <w:pPr>
        <w:ind w:left="121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3">
    <w:nsid w:val="78A81C43"/>
    <w:multiLevelType w:val="hybridMultilevel"/>
    <w:tmpl w:val="BB78930E"/>
    <w:lvl w:ilvl="0" w:tplc="024A2A36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4">
    <w:nsid w:val="7A85247E"/>
    <w:multiLevelType w:val="hybridMultilevel"/>
    <w:tmpl w:val="077C608C"/>
    <w:lvl w:ilvl="0" w:tplc="4754CFC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C7D0A47"/>
    <w:multiLevelType w:val="hybridMultilevel"/>
    <w:tmpl w:val="091E240A"/>
    <w:lvl w:ilvl="0" w:tplc="4EF80D3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7C860104"/>
    <w:multiLevelType w:val="hybridMultilevel"/>
    <w:tmpl w:val="08C0F13E"/>
    <w:lvl w:ilvl="0" w:tplc="04190001">
      <w:start w:val="1"/>
      <w:numFmt w:val="bullet"/>
      <w:lvlText w:val=""/>
      <w:lvlJc w:val="left"/>
      <w:pPr>
        <w:ind w:left="1020" w:hanging="4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3"/>
  </w:num>
  <w:num w:numId="6">
    <w:abstractNumId w:val="11"/>
  </w:num>
  <w:num w:numId="7">
    <w:abstractNumId w:val="16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14"/>
  </w:num>
  <w:num w:numId="13">
    <w:abstractNumId w:val="15"/>
  </w:num>
  <w:num w:numId="14">
    <w:abstractNumId w:val="10"/>
  </w:num>
  <w:num w:numId="15">
    <w:abstractNumId w:val="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C5"/>
    <w:rsid w:val="00002E07"/>
    <w:rsid w:val="000109FC"/>
    <w:rsid w:val="000112EC"/>
    <w:rsid w:val="000132A3"/>
    <w:rsid w:val="00014BCD"/>
    <w:rsid w:val="00015EE1"/>
    <w:rsid w:val="000172E9"/>
    <w:rsid w:val="0002416F"/>
    <w:rsid w:val="00032009"/>
    <w:rsid w:val="0004527D"/>
    <w:rsid w:val="00050484"/>
    <w:rsid w:val="00050E66"/>
    <w:rsid w:val="00057361"/>
    <w:rsid w:val="00070954"/>
    <w:rsid w:val="000732E3"/>
    <w:rsid w:val="00075F73"/>
    <w:rsid w:val="00080A36"/>
    <w:rsid w:val="000851F7"/>
    <w:rsid w:val="000860C9"/>
    <w:rsid w:val="0009528E"/>
    <w:rsid w:val="000A0D65"/>
    <w:rsid w:val="000A1994"/>
    <w:rsid w:val="000A2531"/>
    <w:rsid w:val="000B20D0"/>
    <w:rsid w:val="000B39F9"/>
    <w:rsid w:val="000B466B"/>
    <w:rsid w:val="000B6B0E"/>
    <w:rsid w:val="000B72CE"/>
    <w:rsid w:val="000C08BD"/>
    <w:rsid w:val="000C0F70"/>
    <w:rsid w:val="000C53DF"/>
    <w:rsid w:val="000D28F8"/>
    <w:rsid w:val="000D3104"/>
    <w:rsid w:val="000D3335"/>
    <w:rsid w:val="000D629F"/>
    <w:rsid w:val="000E36D0"/>
    <w:rsid w:val="000E57C9"/>
    <w:rsid w:val="000E75C8"/>
    <w:rsid w:val="000F158E"/>
    <w:rsid w:val="000F1D29"/>
    <w:rsid w:val="000F67A8"/>
    <w:rsid w:val="000F799F"/>
    <w:rsid w:val="0010006D"/>
    <w:rsid w:val="00110A0F"/>
    <w:rsid w:val="00112E29"/>
    <w:rsid w:val="0011618E"/>
    <w:rsid w:val="0011685A"/>
    <w:rsid w:val="00116FCA"/>
    <w:rsid w:val="001245C4"/>
    <w:rsid w:val="00136F81"/>
    <w:rsid w:val="0014419B"/>
    <w:rsid w:val="0015521C"/>
    <w:rsid w:val="00155A17"/>
    <w:rsid w:val="00161087"/>
    <w:rsid w:val="001674D0"/>
    <w:rsid w:val="00170D29"/>
    <w:rsid w:val="001729E9"/>
    <w:rsid w:val="0017324A"/>
    <w:rsid w:val="00184345"/>
    <w:rsid w:val="00190B6D"/>
    <w:rsid w:val="00195557"/>
    <w:rsid w:val="001A29F9"/>
    <w:rsid w:val="001A3FA1"/>
    <w:rsid w:val="001B05E3"/>
    <w:rsid w:val="001B118A"/>
    <w:rsid w:val="001B216F"/>
    <w:rsid w:val="001B5F8C"/>
    <w:rsid w:val="001C1F55"/>
    <w:rsid w:val="001C26D3"/>
    <w:rsid w:val="001C493F"/>
    <w:rsid w:val="001D4196"/>
    <w:rsid w:val="001D5EAE"/>
    <w:rsid w:val="001D7BC9"/>
    <w:rsid w:val="001E1801"/>
    <w:rsid w:val="001E1C16"/>
    <w:rsid w:val="001E22EE"/>
    <w:rsid w:val="001E5501"/>
    <w:rsid w:val="001E59F7"/>
    <w:rsid w:val="001F0CD8"/>
    <w:rsid w:val="001F3BF6"/>
    <w:rsid w:val="001F5DDC"/>
    <w:rsid w:val="001F5FE4"/>
    <w:rsid w:val="001F7812"/>
    <w:rsid w:val="00205A4B"/>
    <w:rsid w:val="002063CA"/>
    <w:rsid w:val="0021338C"/>
    <w:rsid w:val="002137FA"/>
    <w:rsid w:val="0021607E"/>
    <w:rsid w:val="002237B2"/>
    <w:rsid w:val="00224152"/>
    <w:rsid w:val="00240028"/>
    <w:rsid w:val="00242EF7"/>
    <w:rsid w:val="0024582D"/>
    <w:rsid w:val="00246E34"/>
    <w:rsid w:val="00252646"/>
    <w:rsid w:val="00255AC7"/>
    <w:rsid w:val="00262421"/>
    <w:rsid w:val="00276E06"/>
    <w:rsid w:val="0027751E"/>
    <w:rsid w:val="00277A3F"/>
    <w:rsid w:val="0028034F"/>
    <w:rsid w:val="00281F08"/>
    <w:rsid w:val="00282604"/>
    <w:rsid w:val="00282F14"/>
    <w:rsid w:val="00284555"/>
    <w:rsid w:val="002913CB"/>
    <w:rsid w:val="0029337B"/>
    <w:rsid w:val="00294E65"/>
    <w:rsid w:val="0029766A"/>
    <w:rsid w:val="00297A65"/>
    <w:rsid w:val="002A067B"/>
    <w:rsid w:val="002A173B"/>
    <w:rsid w:val="002A44AF"/>
    <w:rsid w:val="002A4C01"/>
    <w:rsid w:val="002A613D"/>
    <w:rsid w:val="002A6806"/>
    <w:rsid w:val="002A68FF"/>
    <w:rsid w:val="002A71AB"/>
    <w:rsid w:val="002B2353"/>
    <w:rsid w:val="002B3619"/>
    <w:rsid w:val="002B4EA9"/>
    <w:rsid w:val="002B581D"/>
    <w:rsid w:val="002B6D17"/>
    <w:rsid w:val="002B7D89"/>
    <w:rsid w:val="002C09A9"/>
    <w:rsid w:val="002C4765"/>
    <w:rsid w:val="002C4984"/>
    <w:rsid w:val="002D2A82"/>
    <w:rsid w:val="002D6EA1"/>
    <w:rsid w:val="002E1B92"/>
    <w:rsid w:val="002E1CC9"/>
    <w:rsid w:val="002F073F"/>
    <w:rsid w:val="002F4068"/>
    <w:rsid w:val="002F48EB"/>
    <w:rsid w:val="002F56BC"/>
    <w:rsid w:val="003005B5"/>
    <w:rsid w:val="00302F97"/>
    <w:rsid w:val="00311FEB"/>
    <w:rsid w:val="003128B4"/>
    <w:rsid w:val="00315655"/>
    <w:rsid w:val="00316B0B"/>
    <w:rsid w:val="00317096"/>
    <w:rsid w:val="00321E41"/>
    <w:rsid w:val="00324E73"/>
    <w:rsid w:val="00327F19"/>
    <w:rsid w:val="003311DA"/>
    <w:rsid w:val="0033169B"/>
    <w:rsid w:val="0033390F"/>
    <w:rsid w:val="00335444"/>
    <w:rsid w:val="00337A2D"/>
    <w:rsid w:val="003428AB"/>
    <w:rsid w:val="00346971"/>
    <w:rsid w:val="003469F5"/>
    <w:rsid w:val="00355BE4"/>
    <w:rsid w:val="00361F73"/>
    <w:rsid w:val="00366896"/>
    <w:rsid w:val="00372F68"/>
    <w:rsid w:val="0038097C"/>
    <w:rsid w:val="0038217C"/>
    <w:rsid w:val="00392F46"/>
    <w:rsid w:val="00394654"/>
    <w:rsid w:val="00394F22"/>
    <w:rsid w:val="0039611E"/>
    <w:rsid w:val="003B160A"/>
    <w:rsid w:val="003B41CD"/>
    <w:rsid w:val="003B4364"/>
    <w:rsid w:val="003B7738"/>
    <w:rsid w:val="003C1B31"/>
    <w:rsid w:val="003C1CAC"/>
    <w:rsid w:val="003D4777"/>
    <w:rsid w:val="003D4DFA"/>
    <w:rsid w:val="003D5623"/>
    <w:rsid w:val="003D5BA4"/>
    <w:rsid w:val="003D633D"/>
    <w:rsid w:val="003D677C"/>
    <w:rsid w:val="003E7ABB"/>
    <w:rsid w:val="003E7F02"/>
    <w:rsid w:val="003F05F3"/>
    <w:rsid w:val="003F60BE"/>
    <w:rsid w:val="003F720F"/>
    <w:rsid w:val="003F7328"/>
    <w:rsid w:val="003F7E1E"/>
    <w:rsid w:val="00402F98"/>
    <w:rsid w:val="0040401C"/>
    <w:rsid w:val="004063A6"/>
    <w:rsid w:val="004157E6"/>
    <w:rsid w:val="00417DD4"/>
    <w:rsid w:val="00424256"/>
    <w:rsid w:val="004250B0"/>
    <w:rsid w:val="00427297"/>
    <w:rsid w:val="00434CC0"/>
    <w:rsid w:val="00436A1A"/>
    <w:rsid w:val="00441E60"/>
    <w:rsid w:val="00444310"/>
    <w:rsid w:val="00446297"/>
    <w:rsid w:val="00446961"/>
    <w:rsid w:val="0045048F"/>
    <w:rsid w:val="004523AA"/>
    <w:rsid w:val="00456DEA"/>
    <w:rsid w:val="004602DF"/>
    <w:rsid w:val="00461747"/>
    <w:rsid w:val="00463B05"/>
    <w:rsid w:val="00463EFA"/>
    <w:rsid w:val="00464BA3"/>
    <w:rsid w:val="00464BEB"/>
    <w:rsid w:val="00465D12"/>
    <w:rsid w:val="004670E2"/>
    <w:rsid w:val="00470C6F"/>
    <w:rsid w:val="00474E57"/>
    <w:rsid w:val="00477118"/>
    <w:rsid w:val="00483AFF"/>
    <w:rsid w:val="00492CF3"/>
    <w:rsid w:val="00496BC1"/>
    <w:rsid w:val="0049788D"/>
    <w:rsid w:val="004A3492"/>
    <w:rsid w:val="004A3B4C"/>
    <w:rsid w:val="004B2724"/>
    <w:rsid w:val="004B53E6"/>
    <w:rsid w:val="004C298C"/>
    <w:rsid w:val="004C5F6D"/>
    <w:rsid w:val="004C6EE4"/>
    <w:rsid w:val="004D1E5C"/>
    <w:rsid w:val="004D3010"/>
    <w:rsid w:val="004D3A1A"/>
    <w:rsid w:val="004E0515"/>
    <w:rsid w:val="004E41AB"/>
    <w:rsid w:val="004E4E87"/>
    <w:rsid w:val="004E50F9"/>
    <w:rsid w:val="004F6EB0"/>
    <w:rsid w:val="0050117A"/>
    <w:rsid w:val="0050251C"/>
    <w:rsid w:val="00503EC4"/>
    <w:rsid w:val="005045E5"/>
    <w:rsid w:val="00504A33"/>
    <w:rsid w:val="00504C10"/>
    <w:rsid w:val="00510DF1"/>
    <w:rsid w:val="005122EA"/>
    <w:rsid w:val="00512A0D"/>
    <w:rsid w:val="005135D8"/>
    <w:rsid w:val="005152D7"/>
    <w:rsid w:val="00524365"/>
    <w:rsid w:val="0052606C"/>
    <w:rsid w:val="00530FAB"/>
    <w:rsid w:val="005344AF"/>
    <w:rsid w:val="005403D6"/>
    <w:rsid w:val="005432A6"/>
    <w:rsid w:val="005539FE"/>
    <w:rsid w:val="005544AA"/>
    <w:rsid w:val="0056617E"/>
    <w:rsid w:val="0057087A"/>
    <w:rsid w:val="00575AD5"/>
    <w:rsid w:val="00580475"/>
    <w:rsid w:val="00585535"/>
    <w:rsid w:val="00586661"/>
    <w:rsid w:val="00597BC0"/>
    <w:rsid w:val="005A2AC9"/>
    <w:rsid w:val="005A46B6"/>
    <w:rsid w:val="005A7A25"/>
    <w:rsid w:val="005B233C"/>
    <w:rsid w:val="005B34B7"/>
    <w:rsid w:val="005B5FD7"/>
    <w:rsid w:val="005C6ACC"/>
    <w:rsid w:val="005D11F8"/>
    <w:rsid w:val="005D4326"/>
    <w:rsid w:val="005E4EC6"/>
    <w:rsid w:val="005E6D4E"/>
    <w:rsid w:val="005F0830"/>
    <w:rsid w:val="005F40B7"/>
    <w:rsid w:val="006023CF"/>
    <w:rsid w:val="00602501"/>
    <w:rsid w:val="00607CA0"/>
    <w:rsid w:val="00610B4C"/>
    <w:rsid w:val="0061643C"/>
    <w:rsid w:val="00617A0B"/>
    <w:rsid w:val="00623377"/>
    <w:rsid w:val="00623975"/>
    <w:rsid w:val="00624F88"/>
    <w:rsid w:val="00626F87"/>
    <w:rsid w:val="00627F4B"/>
    <w:rsid w:val="00630D07"/>
    <w:rsid w:val="00631C04"/>
    <w:rsid w:val="006338CD"/>
    <w:rsid w:val="00635727"/>
    <w:rsid w:val="00635B5C"/>
    <w:rsid w:val="006415E7"/>
    <w:rsid w:val="00641D35"/>
    <w:rsid w:val="00642B72"/>
    <w:rsid w:val="006451E6"/>
    <w:rsid w:val="0064721F"/>
    <w:rsid w:val="00647DDD"/>
    <w:rsid w:val="0065379C"/>
    <w:rsid w:val="0065533F"/>
    <w:rsid w:val="0066043B"/>
    <w:rsid w:val="00672B36"/>
    <w:rsid w:val="00680A75"/>
    <w:rsid w:val="006819E2"/>
    <w:rsid w:val="00683C36"/>
    <w:rsid w:val="006856FF"/>
    <w:rsid w:val="00690D4C"/>
    <w:rsid w:val="00691E1D"/>
    <w:rsid w:val="00692CE1"/>
    <w:rsid w:val="006935BC"/>
    <w:rsid w:val="00693CB5"/>
    <w:rsid w:val="0069484C"/>
    <w:rsid w:val="00696D1B"/>
    <w:rsid w:val="006A0719"/>
    <w:rsid w:val="006A0F88"/>
    <w:rsid w:val="006B03D9"/>
    <w:rsid w:val="006B0C65"/>
    <w:rsid w:val="006B566B"/>
    <w:rsid w:val="006B7728"/>
    <w:rsid w:val="006C2720"/>
    <w:rsid w:val="006C4970"/>
    <w:rsid w:val="006C5FCA"/>
    <w:rsid w:val="006E1EBF"/>
    <w:rsid w:val="006E2960"/>
    <w:rsid w:val="006E29E4"/>
    <w:rsid w:val="006E32E1"/>
    <w:rsid w:val="006F4CB9"/>
    <w:rsid w:val="00702282"/>
    <w:rsid w:val="007074CD"/>
    <w:rsid w:val="0071362F"/>
    <w:rsid w:val="00720123"/>
    <w:rsid w:val="00721324"/>
    <w:rsid w:val="00731A41"/>
    <w:rsid w:val="0073301E"/>
    <w:rsid w:val="00733AAF"/>
    <w:rsid w:val="007417A7"/>
    <w:rsid w:val="00741A05"/>
    <w:rsid w:val="00743ADF"/>
    <w:rsid w:val="00744B56"/>
    <w:rsid w:val="0074701F"/>
    <w:rsid w:val="00752234"/>
    <w:rsid w:val="007632AD"/>
    <w:rsid w:val="0076415E"/>
    <w:rsid w:val="00773AFE"/>
    <w:rsid w:val="00774B1E"/>
    <w:rsid w:val="00775812"/>
    <w:rsid w:val="00784FE8"/>
    <w:rsid w:val="007856BA"/>
    <w:rsid w:val="00785C88"/>
    <w:rsid w:val="00786D20"/>
    <w:rsid w:val="00797F2C"/>
    <w:rsid w:val="007A4CF1"/>
    <w:rsid w:val="007B123C"/>
    <w:rsid w:val="007B24D0"/>
    <w:rsid w:val="007B27CD"/>
    <w:rsid w:val="007B3793"/>
    <w:rsid w:val="007B5067"/>
    <w:rsid w:val="007B5E00"/>
    <w:rsid w:val="007C3923"/>
    <w:rsid w:val="007C56DF"/>
    <w:rsid w:val="007C6AF2"/>
    <w:rsid w:val="007D0C6D"/>
    <w:rsid w:val="007D1829"/>
    <w:rsid w:val="007D24F0"/>
    <w:rsid w:val="007E05D6"/>
    <w:rsid w:val="007E25EC"/>
    <w:rsid w:val="007E51D8"/>
    <w:rsid w:val="007E7F3E"/>
    <w:rsid w:val="007F4586"/>
    <w:rsid w:val="0080241C"/>
    <w:rsid w:val="008066F7"/>
    <w:rsid w:val="00810193"/>
    <w:rsid w:val="00813527"/>
    <w:rsid w:val="00820951"/>
    <w:rsid w:val="008220F8"/>
    <w:rsid w:val="00823D02"/>
    <w:rsid w:val="00824601"/>
    <w:rsid w:val="00826148"/>
    <w:rsid w:val="008278C8"/>
    <w:rsid w:val="00834BB6"/>
    <w:rsid w:val="00840E3F"/>
    <w:rsid w:val="00842ACB"/>
    <w:rsid w:val="00847234"/>
    <w:rsid w:val="00857230"/>
    <w:rsid w:val="008615B2"/>
    <w:rsid w:val="00861A2C"/>
    <w:rsid w:val="00863A87"/>
    <w:rsid w:val="0086577B"/>
    <w:rsid w:val="00867627"/>
    <w:rsid w:val="00867D74"/>
    <w:rsid w:val="008710E2"/>
    <w:rsid w:val="008727F8"/>
    <w:rsid w:val="008736CD"/>
    <w:rsid w:val="0087559D"/>
    <w:rsid w:val="0088095E"/>
    <w:rsid w:val="008824F0"/>
    <w:rsid w:val="00885016"/>
    <w:rsid w:val="00886E08"/>
    <w:rsid w:val="008947FD"/>
    <w:rsid w:val="008A48B7"/>
    <w:rsid w:val="008A580D"/>
    <w:rsid w:val="008A5FBE"/>
    <w:rsid w:val="008C7FEA"/>
    <w:rsid w:val="008D5A73"/>
    <w:rsid w:val="008D5EFC"/>
    <w:rsid w:val="008E6CF3"/>
    <w:rsid w:val="008F1545"/>
    <w:rsid w:val="008F3536"/>
    <w:rsid w:val="008F50C5"/>
    <w:rsid w:val="008F624A"/>
    <w:rsid w:val="00902235"/>
    <w:rsid w:val="00904CB8"/>
    <w:rsid w:val="009111DB"/>
    <w:rsid w:val="00912755"/>
    <w:rsid w:val="00920A5F"/>
    <w:rsid w:val="00921712"/>
    <w:rsid w:val="009249CE"/>
    <w:rsid w:val="00934ADE"/>
    <w:rsid w:val="00943CBD"/>
    <w:rsid w:val="00944C8A"/>
    <w:rsid w:val="0095576E"/>
    <w:rsid w:val="00955DF2"/>
    <w:rsid w:val="00956044"/>
    <w:rsid w:val="00963A4E"/>
    <w:rsid w:val="00967BAB"/>
    <w:rsid w:val="00970D26"/>
    <w:rsid w:val="00971347"/>
    <w:rsid w:val="00972B71"/>
    <w:rsid w:val="00972F34"/>
    <w:rsid w:val="00973B95"/>
    <w:rsid w:val="009815BB"/>
    <w:rsid w:val="00981C1C"/>
    <w:rsid w:val="00981DD1"/>
    <w:rsid w:val="00987044"/>
    <w:rsid w:val="00991949"/>
    <w:rsid w:val="00994C70"/>
    <w:rsid w:val="009972F9"/>
    <w:rsid w:val="009A1F17"/>
    <w:rsid w:val="009A30B4"/>
    <w:rsid w:val="009B0694"/>
    <w:rsid w:val="009B65DE"/>
    <w:rsid w:val="009C6B59"/>
    <w:rsid w:val="009D6B8B"/>
    <w:rsid w:val="009E05EA"/>
    <w:rsid w:val="009E1241"/>
    <w:rsid w:val="009E3AD7"/>
    <w:rsid w:val="009F1BE0"/>
    <w:rsid w:val="009F4CF0"/>
    <w:rsid w:val="009F558D"/>
    <w:rsid w:val="00A03482"/>
    <w:rsid w:val="00A06505"/>
    <w:rsid w:val="00A0767E"/>
    <w:rsid w:val="00A11A21"/>
    <w:rsid w:val="00A11F52"/>
    <w:rsid w:val="00A12BCA"/>
    <w:rsid w:val="00A133A2"/>
    <w:rsid w:val="00A15B14"/>
    <w:rsid w:val="00A15D79"/>
    <w:rsid w:val="00A16398"/>
    <w:rsid w:val="00A178E4"/>
    <w:rsid w:val="00A37A28"/>
    <w:rsid w:val="00A418AA"/>
    <w:rsid w:val="00A42F9B"/>
    <w:rsid w:val="00A43E72"/>
    <w:rsid w:val="00A45C7D"/>
    <w:rsid w:val="00A468F4"/>
    <w:rsid w:val="00A51F86"/>
    <w:rsid w:val="00A5269D"/>
    <w:rsid w:val="00A57A5B"/>
    <w:rsid w:val="00A60F3F"/>
    <w:rsid w:val="00A64AF2"/>
    <w:rsid w:val="00A66827"/>
    <w:rsid w:val="00A7533C"/>
    <w:rsid w:val="00A75679"/>
    <w:rsid w:val="00A80FCA"/>
    <w:rsid w:val="00A922AE"/>
    <w:rsid w:val="00A941EB"/>
    <w:rsid w:val="00A9718D"/>
    <w:rsid w:val="00AA3167"/>
    <w:rsid w:val="00AC2878"/>
    <w:rsid w:val="00AC36A4"/>
    <w:rsid w:val="00AD57AB"/>
    <w:rsid w:val="00AD759E"/>
    <w:rsid w:val="00AD764B"/>
    <w:rsid w:val="00AE30B1"/>
    <w:rsid w:val="00AF32AE"/>
    <w:rsid w:val="00AF4DA5"/>
    <w:rsid w:val="00AF558C"/>
    <w:rsid w:val="00B0526F"/>
    <w:rsid w:val="00B149E4"/>
    <w:rsid w:val="00B14A7A"/>
    <w:rsid w:val="00B1628C"/>
    <w:rsid w:val="00B20D17"/>
    <w:rsid w:val="00B42A91"/>
    <w:rsid w:val="00B452BA"/>
    <w:rsid w:val="00B575B6"/>
    <w:rsid w:val="00B60E4F"/>
    <w:rsid w:val="00B61A29"/>
    <w:rsid w:val="00B775BE"/>
    <w:rsid w:val="00B9492D"/>
    <w:rsid w:val="00BA36F6"/>
    <w:rsid w:val="00BA626C"/>
    <w:rsid w:val="00BA6515"/>
    <w:rsid w:val="00BA6597"/>
    <w:rsid w:val="00BB3A19"/>
    <w:rsid w:val="00BC0257"/>
    <w:rsid w:val="00BC2274"/>
    <w:rsid w:val="00BC2CC9"/>
    <w:rsid w:val="00BC797F"/>
    <w:rsid w:val="00BD14A5"/>
    <w:rsid w:val="00BD4DBC"/>
    <w:rsid w:val="00BE1701"/>
    <w:rsid w:val="00BE4EFA"/>
    <w:rsid w:val="00BE5050"/>
    <w:rsid w:val="00C00DA3"/>
    <w:rsid w:val="00C03F6E"/>
    <w:rsid w:val="00C06072"/>
    <w:rsid w:val="00C0663D"/>
    <w:rsid w:val="00C076D1"/>
    <w:rsid w:val="00C109B8"/>
    <w:rsid w:val="00C138ED"/>
    <w:rsid w:val="00C171B3"/>
    <w:rsid w:val="00C23806"/>
    <w:rsid w:val="00C2394E"/>
    <w:rsid w:val="00C413A9"/>
    <w:rsid w:val="00C416E7"/>
    <w:rsid w:val="00C42234"/>
    <w:rsid w:val="00C43346"/>
    <w:rsid w:val="00C43D97"/>
    <w:rsid w:val="00C44CA1"/>
    <w:rsid w:val="00C465AE"/>
    <w:rsid w:val="00C52CFC"/>
    <w:rsid w:val="00C60D11"/>
    <w:rsid w:val="00C77C51"/>
    <w:rsid w:val="00C77CE4"/>
    <w:rsid w:val="00C80C2F"/>
    <w:rsid w:val="00C859CF"/>
    <w:rsid w:val="00C874E1"/>
    <w:rsid w:val="00C9221F"/>
    <w:rsid w:val="00C97A49"/>
    <w:rsid w:val="00CA1209"/>
    <w:rsid w:val="00CA194A"/>
    <w:rsid w:val="00CB0718"/>
    <w:rsid w:val="00CB3FD1"/>
    <w:rsid w:val="00CB6B17"/>
    <w:rsid w:val="00CB7866"/>
    <w:rsid w:val="00CB7D40"/>
    <w:rsid w:val="00CC20AC"/>
    <w:rsid w:val="00CC317B"/>
    <w:rsid w:val="00CD531B"/>
    <w:rsid w:val="00CD5AE3"/>
    <w:rsid w:val="00CE45C0"/>
    <w:rsid w:val="00CE6F46"/>
    <w:rsid w:val="00D04139"/>
    <w:rsid w:val="00D0417E"/>
    <w:rsid w:val="00D0458A"/>
    <w:rsid w:val="00D04B4F"/>
    <w:rsid w:val="00D12405"/>
    <w:rsid w:val="00D14914"/>
    <w:rsid w:val="00D15744"/>
    <w:rsid w:val="00D16886"/>
    <w:rsid w:val="00D22382"/>
    <w:rsid w:val="00D2638F"/>
    <w:rsid w:val="00D31D9B"/>
    <w:rsid w:val="00D32E6A"/>
    <w:rsid w:val="00D3404D"/>
    <w:rsid w:val="00D44A15"/>
    <w:rsid w:val="00D51CB8"/>
    <w:rsid w:val="00D53CC4"/>
    <w:rsid w:val="00D5403E"/>
    <w:rsid w:val="00D56578"/>
    <w:rsid w:val="00D60572"/>
    <w:rsid w:val="00D62479"/>
    <w:rsid w:val="00D65893"/>
    <w:rsid w:val="00D665DC"/>
    <w:rsid w:val="00D73E6A"/>
    <w:rsid w:val="00D74E84"/>
    <w:rsid w:val="00D759E5"/>
    <w:rsid w:val="00D802D4"/>
    <w:rsid w:val="00D8088B"/>
    <w:rsid w:val="00D80E26"/>
    <w:rsid w:val="00D82039"/>
    <w:rsid w:val="00D9240E"/>
    <w:rsid w:val="00D927D4"/>
    <w:rsid w:val="00D9722F"/>
    <w:rsid w:val="00DA4871"/>
    <w:rsid w:val="00DA6D79"/>
    <w:rsid w:val="00DB0637"/>
    <w:rsid w:val="00DB5488"/>
    <w:rsid w:val="00DC14EC"/>
    <w:rsid w:val="00DC1783"/>
    <w:rsid w:val="00DC3718"/>
    <w:rsid w:val="00DC6534"/>
    <w:rsid w:val="00DC7107"/>
    <w:rsid w:val="00DD3B3A"/>
    <w:rsid w:val="00DD79A4"/>
    <w:rsid w:val="00DE4990"/>
    <w:rsid w:val="00DE5FA5"/>
    <w:rsid w:val="00DF6A56"/>
    <w:rsid w:val="00DF6BE0"/>
    <w:rsid w:val="00DF6BF9"/>
    <w:rsid w:val="00E02B3D"/>
    <w:rsid w:val="00E0557E"/>
    <w:rsid w:val="00E0690A"/>
    <w:rsid w:val="00E06D31"/>
    <w:rsid w:val="00E1196A"/>
    <w:rsid w:val="00E178CA"/>
    <w:rsid w:val="00E17EF5"/>
    <w:rsid w:val="00E206AB"/>
    <w:rsid w:val="00E24C0A"/>
    <w:rsid w:val="00E27B0E"/>
    <w:rsid w:val="00E35BC8"/>
    <w:rsid w:val="00E406F1"/>
    <w:rsid w:val="00E41911"/>
    <w:rsid w:val="00E44B77"/>
    <w:rsid w:val="00E44D0F"/>
    <w:rsid w:val="00E46C80"/>
    <w:rsid w:val="00E51A05"/>
    <w:rsid w:val="00E530F8"/>
    <w:rsid w:val="00E60770"/>
    <w:rsid w:val="00E629F6"/>
    <w:rsid w:val="00E62BB7"/>
    <w:rsid w:val="00E64D19"/>
    <w:rsid w:val="00E65354"/>
    <w:rsid w:val="00E76F0A"/>
    <w:rsid w:val="00E859DF"/>
    <w:rsid w:val="00E96B81"/>
    <w:rsid w:val="00EA1691"/>
    <w:rsid w:val="00EB056F"/>
    <w:rsid w:val="00EB130C"/>
    <w:rsid w:val="00EB3C89"/>
    <w:rsid w:val="00EB5020"/>
    <w:rsid w:val="00EB650D"/>
    <w:rsid w:val="00EB77DB"/>
    <w:rsid w:val="00EC2554"/>
    <w:rsid w:val="00EC2604"/>
    <w:rsid w:val="00EC2C69"/>
    <w:rsid w:val="00EC38C4"/>
    <w:rsid w:val="00EC7482"/>
    <w:rsid w:val="00ED4470"/>
    <w:rsid w:val="00ED4D1A"/>
    <w:rsid w:val="00EE467A"/>
    <w:rsid w:val="00EE5845"/>
    <w:rsid w:val="00EE5904"/>
    <w:rsid w:val="00EF27AF"/>
    <w:rsid w:val="00EF4BD8"/>
    <w:rsid w:val="00EF60E4"/>
    <w:rsid w:val="00F00BE4"/>
    <w:rsid w:val="00F01746"/>
    <w:rsid w:val="00F13227"/>
    <w:rsid w:val="00F138FE"/>
    <w:rsid w:val="00F16407"/>
    <w:rsid w:val="00F17E1D"/>
    <w:rsid w:val="00F2416F"/>
    <w:rsid w:val="00F24D60"/>
    <w:rsid w:val="00F2520A"/>
    <w:rsid w:val="00F26C85"/>
    <w:rsid w:val="00F27EF4"/>
    <w:rsid w:val="00F31B4D"/>
    <w:rsid w:val="00F327A0"/>
    <w:rsid w:val="00F330F9"/>
    <w:rsid w:val="00F3629A"/>
    <w:rsid w:val="00F45817"/>
    <w:rsid w:val="00F45ABB"/>
    <w:rsid w:val="00F5517E"/>
    <w:rsid w:val="00F714B9"/>
    <w:rsid w:val="00F72BFA"/>
    <w:rsid w:val="00F74D00"/>
    <w:rsid w:val="00F86904"/>
    <w:rsid w:val="00F901C6"/>
    <w:rsid w:val="00F91EB4"/>
    <w:rsid w:val="00F970F4"/>
    <w:rsid w:val="00FA138F"/>
    <w:rsid w:val="00FA1E22"/>
    <w:rsid w:val="00FA2F29"/>
    <w:rsid w:val="00FA3040"/>
    <w:rsid w:val="00FA3D6A"/>
    <w:rsid w:val="00FA6DF6"/>
    <w:rsid w:val="00FA7D1F"/>
    <w:rsid w:val="00FB6114"/>
    <w:rsid w:val="00FB72A8"/>
    <w:rsid w:val="00FC09F2"/>
    <w:rsid w:val="00FC3797"/>
    <w:rsid w:val="00FC3A0B"/>
    <w:rsid w:val="00FC4179"/>
    <w:rsid w:val="00FC48E8"/>
    <w:rsid w:val="00FC72F7"/>
    <w:rsid w:val="00FD234E"/>
    <w:rsid w:val="00FD3A47"/>
    <w:rsid w:val="00FD5255"/>
    <w:rsid w:val="00FE21DC"/>
    <w:rsid w:val="00FE4596"/>
    <w:rsid w:val="00FE5280"/>
    <w:rsid w:val="00FE60D4"/>
    <w:rsid w:val="00FF102C"/>
    <w:rsid w:val="00FF21CE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3C36"/>
  </w:style>
  <w:style w:type="character" w:customStyle="1" w:styleId="ft">
    <w:name w:val="ft"/>
    <w:basedOn w:val="a0"/>
    <w:rsid w:val="00683C36"/>
  </w:style>
  <w:style w:type="character" w:styleId="a5">
    <w:name w:val="Emphasis"/>
    <w:basedOn w:val="a0"/>
    <w:uiPriority w:val="20"/>
    <w:qFormat/>
    <w:rsid w:val="00683C36"/>
    <w:rPr>
      <w:i/>
      <w:iCs/>
    </w:rPr>
  </w:style>
  <w:style w:type="paragraph" w:styleId="a6">
    <w:name w:val="Normal (Web)"/>
    <w:basedOn w:val="a"/>
    <w:uiPriority w:val="99"/>
    <w:unhideWhenUsed/>
    <w:rsid w:val="0068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158E"/>
    <w:pPr>
      <w:ind w:left="720"/>
      <w:contextualSpacing/>
    </w:pPr>
  </w:style>
  <w:style w:type="paragraph" w:styleId="a8">
    <w:name w:val="No Spacing"/>
    <w:uiPriority w:val="1"/>
    <w:qFormat/>
    <w:rsid w:val="00D51CB8"/>
    <w:pPr>
      <w:spacing w:after="0" w:line="240" w:lineRule="auto"/>
    </w:pPr>
  </w:style>
  <w:style w:type="table" w:styleId="a9">
    <w:name w:val="Table Grid"/>
    <w:basedOn w:val="a1"/>
    <w:uiPriority w:val="59"/>
    <w:rsid w:val="00635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A7533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3C36"/>
  </w:style>
  <w:style w:type="character" w:customStyle="1" w:styleId="ft">
    <w:name w:val="ft"/>
    <w:basedOn w:val="a0"/>
    <w:rsid w:val="00683C36"/>
  </w:style>
  <w:style w:type="character" w:styleId="a5">
    <w:name w:val="Emphasis"/>
    <w:basedOn w:val="a0"/>
    <w:uiPriority w:val="20"/>
    <w:qFormat/>
    <w:rsid w:val="00683C36"/>
    <w:rPr>
      <w:i/>
      <w:iCs/>
    </w:rPr>
  </w:style>
  <w:style w:type="paragraph" w:styleId="a6">
    <w:name w:val="Normal (Web)"/>
    <w:basedOn w:val="a"/>
    <w:uiPriority w:val="99"/>
    <w:unhideWhenUsed/>
    <w:rsid w:val="0068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158E"/>
    <w:pPr>
      <w:ind w:left="720"/>
      <w:contextualSpacing/>
    </w:pPr>
  </w:style>
  <w:style w:type="paragraph" w:styleId="a8">
    <w:name w:val="No Spacing"/>
    <w:uiPriority w:val="1"/>
    <w:qFormat/>
    <w:rsid w:val="00D51CB8"/>
    <w:pPr>
      <w:spacing w:after="0" w:line="240" w:lineRule="auto"/>
    </w:pPr>
  </w:style>
  <w:style w:type="table" w:styleId="a9">
    <w:name w:val="Table Grid"/>
    <w:basedOn w:val="a1"/>
    <w:uiPriority w:val="59"/>
    <w:rsid w:val="00635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A7533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8;&#1089;&#1090;&#1103;&#1075;&#1080;&#1085;&#1072;%20&#1040;&#1085;&#1085;&#1072;%20&#1040;&#1083;&#1077;&#1082;&#1089;&#1072;&#1085;&#1076;&#1088;&#1086;&#1074;&#1085;&#1072;%2006.03.2023\&#1056;&#1072;&#1079;&#1085;&#1086;&#1077;\&#1054;&#1058;&#1063;&#1025;&#1058;&#1067;\&#1075;&#1088;&#1072;&#1092;&#1080;&#1082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8;&#1089;&#1090;&#1103;&#1075;&#1080;&#1085;&#1072;%20&#1040;&#1085;&#1085;&#1072;%20&#1040;&#1083;&#1077;&#1082;&#1089;&#1072;&#1085;&#1076;&#1088;&#1086;&#1074;&#1085;&#1072;%2006.03.2023\&#1056;&#1072;&#1079;&#1085;&#1086;&#1077;\&#1054;&#1058;&#1063;&#1025;&#1058;&#1067;\&#1075;&#1088;&#1072;&#1092;&#1080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3860459362500513E-2"/>
          <c:y val="3.7503159327306308E-2"/>
          <c:w val="0.76768269532346189"/>
          <c:h val="0.417754745773057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Лист1!$B$15</c:f>
              <c:strCache>
                <c:ptCount val="1"/>
                <c:pt idx="0">
                  <c:v>август 2024г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Лист1!$A$16:$A$20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 </c:v>
                </c:pt>
                <c:pt idx="2">
                  <c:v>обращения граждан из вышестоящих органов</c:v>
                </c:pt>
                <c:pt idx="3">
                  <c:v>обращения с личного приёма</c:v>
                </c:pt>
                <c:pt idx="4">
                  <c:v>Обращения граждан с "Прямой линии"</c:v>
                </c:pt>
              </c:strCache>
            </c:strRef>
          </c:cat>
          <c:val>
            <c:numRef>
              <c:f>Лист1!$B$16:$B$20</c:f>
              <c:numCache>
                <c:formatCode>General</c:formatCode>
                <c:ptCount val="5"/>
                <c:pt idx="0">
                  <c:v>13</c:v>
                </c:pt>
                <c:pt idx="1">
                  <c:v>2</c:v>
                </c:pt>
                <c:pt idx="2">
                  <c:v>5</c:v>
                </c:pt>
                <c:pt idx="3">
                  <c:v>6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Лист1!$C$15</c:f>
              <c:strCache>
                <c:ptCount val="1"/>
                <c:pt idx="0">
                  <c:v>июнь 2024г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Лист1!$A$16:$A$20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 </c:v>
                </c:pt>
                <c:pt idx="2">
                  <c:v>обращения граждан из вышестоящих органов</c:v>
                </c:pt>
                <c:pt idx="3">
                  <c:v>обращения с личного приёма</c:v>
                </c:pt>
                <c:pt idx="4">
                  <c:v>Обращения граждан с "Прямой линии"</c:v>
                </c:pt>
              </c:strCache>
            </c:strRef>
          </c:cat>
          <c:val>
            <c:numRef>
              <c:f>Лист1!$C$16:$C$20</c:f>
              <c:numCache>
                <c:formatCode>General</c:formatCode>
                <c:ptCount val="5"/>
                <c:pt idx="0">
                  <c:v>16</c:v>
                </c:pt>
                <c:pt idx="1">
                  <c:v>6</c:v>
                </c:pt>
                <c:pt idx="2">
                  <c:v>7</c:v>
                </c:pt>
                <c:pt idx="3">
                  <c:v>11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Лист1!$D$15</c:f>
              <c:strCache>
                <c:ptCount val="1"/>
                <c:pt idx="0">
                  <c:v>август  2023г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Лист1!$A$16:$A$20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 </c:v>
                </c:pt>
                <c:pt idx="2">
                  <c:v>обращения граждан из вышестоящих органов</c:v>
                </c:pt>
                <c:pt idx="3">
                  <c:v>обращения с личного приёма</c:v>
                </c:pt>
                <c:pt idx="4">
                  <c:v>Обращения граждан с "Прямой линии"</c:v>
                </c:pt>
              </c:strCache>
            </c:strRef>
          </c:cat>
          <c:val>
            <c:numRef>
              <c:f>Лист1!$D$16:$D$20</c:f>
              <c:numCache>
                <c:formatCode>General</c:formatCode>
                <c:ptCount val="5"/>
                <c:pt idx="0">
                  <c:v>12</c:v>
                </c:pt>
                <c:pt idx="1">
                  <c:v>5</c:v>
                </c:pt>
                <c:pt idx="2">
                  <c:v>39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8636928"/>
        <c:axId val="98638464"/>
        <c:axId val="0"/>
      </c:bar3DChart>
      <c:catAx>
        <c:axId val="986369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 anchor="ctr" anchorCtr="0"/>
          <a:lstStyle/>
          <a:p>
            <a:pPr>
              <a:defRPr/>
            </a:pPr>
            <a:endParaRPr lang="ru-RU"/>
          </a:p>
        </c:txPr>
        <c:crossAx val="98638464"/>
        <c:crosses val="autoZero"/>
        <c:auto val="1"/>
        <c:lblAlgn val="ctr"/>
        <c:lblOffset val="100"/>
        <c:noMultiLvlLbl val="0"/>
      </c:catAx>
      <c:valAx>
        <c:axId val="98638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636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13444438011425044"/>
          <c:y val="0.32068435058651168"/>
          <c:w val="0.3279261232051876"/>
          <c:h val="0.57919399420731699"/>
        </c:manualLayout>
      </c:layout>
      <c:pieChart>
        <c:varyColors val="1"/>
        <c:ser>
          <c:idx val="0"/>
          <c:order val="0"/>
          <c:tx>
            <c:strRef>
              <c:f>Лист3!$B$34</c:f>
              <c:strCache>
                <c:ptCount val="1"/>
                <c:pt idx="0">
                  <c:v>тематическая направленность обращений граждан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Лист3!$A$35:$A$40</c:f>
              <c:strCache>
                <c:ptCount val="3"/>
                <c:pt idx="0">
                  <c:v>«Экономика»</c:v>
                </c:pt>
                <c:pt idx="1">
                  <c:v>«Социальная сфера» </c:v>
                </c:pt>
                <c:pt idx="2">
                  <c:v> «Жилищно-коммунальная сфера» </c:v>
                </c:pt>
              </c:strCache>
            </c:strRef>
          </c:cat>
          <c:val>
            <c:numRef>
              <c:f>Лист3!$B$35:$B$40</c:f>
              <c:numCache>
                <c:formatCode>0%</c:formatCode>
                <c:ptCount val="6"/>
                <c:pt idx="0">
                  <c:v>0.78</c:v>
                </c:pt>
                <c:pt idx="1">
                  <c:v>0.04</c:v>
                </c:pt>
                <c:pt idx="2">
                  <c:v>0.18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478192122798006"/>
          <c:y val="0.36278269062521029"/>
          <c:w val="0.3223027636251351"/>
          <c:h val="0.3160301500773941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067FF-00E3-4C36-A156-E5C5B715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4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44</cp:revision>
  <cp:lastPrinted>2016-11-07T10:59:00Z</cp:lastPrinted>
  <dcterms:created xsi:type="dcterms:W3CDTF">2021-05-11T06:36:00Z</dcterms:created>
  <dcterms:modified xsi:type="dcterms:W3CDTF">2024-09-05T06:24:00Z</dcterms:modified>
</cp:coreProperties>
</file>