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Об утверждении Стандарта финансового контроля «Организация и проведение внешней проверки годового отчёта об исполнении бюджета муниципального образования «Город Новоульяновск»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>     </w:t>
      </w:r>
      <w:r>
        <w:rPr/>
        <w:t xml:space="preserve">В соответствии с Регламентом Контрольно-счётной комиссии города Новоульяновска, утверждённым Приказом Председателя от 30.11.2012 №1: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1. Утвердить прилагаемый Стандарт финансового контроля «Организация и проведение внешней проверки годового отчёта об исполнении бюджета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2. Настоящее Распоряжение вступает в силу с момента его подписания. </w:t>
      </w:r>
    </w:p>
    <w:p>
      <w:pPr>
        <w:pStyle w:val="BodyText"/>
        <w:bidi w:val="0"/>
        <w:rPr/>
      </w:pPr>
      <w:r>
        <w:rPr/>
        <w:t xml:space="preserve">   </w:t>
      </w:r>
    </w:p>
    <w:p>
      <w:pPr>
        <w:pStyle w:val="BodyText"/>
        <w:bidi w:val="0"/>
        <w:rPr/>
      </w:pPr>
      <w:r>
        <w:rPr/>
        <w:t xml:space="preserve">ПредседательКонтрольно-счётной комиссии </w:t>
      </w:r>
    </w:p>
    <w:p>
      <w:pPr>
        <w:pStyle w:val="BodyText"/>
        <w:bidi w:val="0"/>
        <w:rPr/>
      </w:pPr>
      <w:r>
        <w:rPr/>
        <w:t xml:space="preserve">города Новоульяновска                                           А.Н.Пронько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jc w:val="right"/>
        <w:rPr/>
      </w:pPr>
      <w:r>
        <w:rPr/>
        <w:t xml:space="preserve">утверждён </w:t>
      </w:r>
    </w:p>
    <w:p>
      <w:pPr>
        <w:pStyle w:val="BodyText"/>
        <w:bidi w:val="0"/>
        <w:jc w:val="right"/>
        <w:rPr/>
      </w:pPr>
      <w:r>
        <w:rPr/>
        <w:t xml:space="preserve">Приказом Председателя </w:t>
      </w:r>
    </w:p>
    <w:p>
      <w:pPr>
        <w:pStyle w:val="BodyText"/>
        <w:bidi w:val="0"/>
        <w:jc w:val="right"/>
        <w:rPr/>
      </w:pPr>
      <w:r>
        <w:rPr/>
        <w:t xml:space="preserve">Контрольно-счётной комиссии </w:t>
      </w:r>
    </w:p>
    <w:p>
      <w:pPr>
        <w:pStyle w:val="BodyText"/>
        <w:bidi w:val="0"/>
        <w:jc w:val="right"/>
        <w:rPr/>
      </w:pPr>
      <w:r>
        <w:rPr/>
        <w:t xml:space="preserve">от 30.04.2019 № 44 </w:t>
      </w:r>
    </w:p>
    <w:p>
      <w:pPr>
        <w:pStyle w:val="BodyText"/>
        <w:bidi w:val="0"/>
        <w:jc w:val="center"/>
        <w:rPr/>
      </w:pPr>
      <w:r>
        <w:rPr/>
        <w:t xml:space="preserve">СТАНДАРТ ФИНАНСОВОГО КОНТРОЛЯ </w:t>
      </w:r>
    </w:p>
    <w:p>
      <w:pPr>
        <w:pStyle w:val="BodyText"/>
        <w:bidi w:val="0"/>
        <w:jc w:val="center"/>
        <w:rPr/>
      </w:pPr>
      <w:r>
        <w:rPr/>
        <w:t xml:space="preserve">«Организация и проведение внешней проверки годового отчёта об исполнении бюджета </w:t>
      </w:r>
    </w:p>
    <w:p>
      <w:pPr>
        <w:pStyle w:val="BodyText"/>
        <w:bidi w:val="0"/>
        <w:jc w:val="center"/>
        <w:rPr/>
      </w:pPr>
      <w:r>
        <w:rPr/>
        <w:t xml:space="preserve">муниципального образования «Город Новоульяновск» </w:t>
      </w:r>
    </w:p>
    <w:p>
      <w:pPr>
        <w:pStyle w:val="BodyText"/>
        <w:bidi w:val="0"/>
        <w:rPr/>
      </w:pPr>
      <w:r>
        <w:rPr/>
        <w:t xml:space="preserve">Глава 1. Общие положения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1. Стандарт финансового контроля «Организация и проведение внешний проверки годового отчёта об исполнении бюджета муниципального образования «Город Новоульяновск» (далее - Стандарт) предназначен для реализации полномочий Контрольно-счётной комиссии города Новоульяновска (далее - Контрольно-счётная комиссия) при осуществлении внешнего муниципального финансового контроля в муниципальном образовании «Город Новоульяновск».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2. Стандарт разработан на основе стандарта внешнего государственного аудита (контроля) СГА 203 «Последующий контроль за исполнением федерального бюджета», утверждённого Коллегией Счётной комиссии Российской Федерации (постановление от 21.04.2017 № 3ПК) и стандарта финансового контроля «Проведение внешней проверки годового отчёта об исполнении местного бюджета совместно с проверкой достоверности годовой бюджетной отчётности главных администраторов бюджетных средств», утверждённого решением Президиума Союза МКСО (протокол заседания Президиума Союза МКСО от 25.09.2012 № 4 (30)).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3. Целью Стандарта является установление единых основ организации и проведения внешней проверки годового отчёта об исполнении бюджета муниципального образования «Город Новоульяновск», а также документов и материалов, представляемых одновременно с ним (далее - годовой отчёт об исполнении местного бюджета), включающей также проверку годовой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города (далее – годовая бюджетная отчётность главных администраторов бюджетных средств, главные администраторы бюджетных средств).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4. Задачами Стандарта являются: </w:t>
      </w:r>
    </w:p>
    <w:p>
      <w:pPr>
        <w:pStyle w:val="BodyText"/>
        <w:bidi w:val="0"/>
        <w:rPr/>
      </w:pPr>
      <w:r>
        <w:rPr/>
        <w:t xml:space="preserve">1) определение общих правил и процедуры проведения внешней проверки годового отчёта об исполнении местного бюджета; </w:t>
      </w:r>
    </w:p>
    <w:p>
      <w:pPr>
        <w:pStyle w:val="BodyText"/>
        <w:bidi w:val="0"/>
        <w:rPr/>
      </w:pPr>
      <w:r>
        <w:rPr/>
        <w:t xml:space="preserve">2) определение структуры, содержания и основных требований к заключению Контрольно-счётной комиссии по результатам проведения внешней проверки годового отчёта об исполнении местного бюджета.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5. Решение вопросов, возникающих во время проведения внешней проверки годового отчёта об исполнении местного бюджета,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 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«Город Новоульяновск», Решением Городской Думы МО «Город Новоульяновск» от 29.08.2013 № 76 «О Муниципальном учреждении Контрольно-счётной комиссии города Новоульяновска», а также Стандартом финансового контроля «Общие правила проведения экспертно-аналитического мероприятия», утверждённым соответствующим приказом Председателя Контрольно-счётной комиссии.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6. Для целей Стандарта применяются понятия и термины, предусмотренные Регламентом. </w:t>
      </w:r>
    </w:p>
    <w:p>
      <w:pPr>
        <w:pStyle w:val="BodyText"/>
        <w:bidi w:val="0"/>
        <w:rPr/>
      </w:pPr>
      <w:r>
        <w:rPr/>
        <w:t xml:space="preserve">  </w:t>
      </w:r>
      <w:r>
        <w:rPr/>
        <w:t xml:space="preserve">7.  Для удобства пользования Стандартом к нему составлены указатели, в которых в хронологическом порядке перечислены наименования глав со ссылками на номера соответствующих пунктов и Приложение к Стандарту. </w:t>
      </w:r>
    </w:p>
    <w:p>
      <w:pPr>
        <w:pStyle w:val="BodyText"/>
        <w:bidi w:val="0"/>
        <w:rPr/>
      </w:pPr>
      <w:r>
        <w:rPr/>
        <w:t xml:space="preserve">Глава 2. Содержание внешней проверки </w:t>
      </w:r>
    </w:p>
    <w:p>
      <w:pPr>
        <w:pStyle w:val="BodyText"/>
        <w:bidi w:val="0"/>
        <w:rPr/>
      </w:pPr>
      <w:r>
        <w:rPr/>
        <w:t xml:space="preserve">годового отчёта об исполнении местного бюджета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8. Целью проведения внешней проверки годового отчёта об исполнении местного бюджета являются: </w:t>
      </w:r>
    </w:p>
    <w:p>
      <w:pPr>
        <w:pStyle w:val="BodyText"/>
        <w:bidi w:val="0"/>
        <w:rPr/>
      </w:pPr>
      <w:r>
        <w:rPr/>
        <w:t> </w:t>
      </w:r>
      <w:r>
        <w:rPr/>
        <w:t xml:space="preserve">1) установление законности, степени полноты и достоверности представленной годовой бюджетной отчётности главных администраторов бюджетных средств, годового отчёта об исполнении местного бюджета; </w:t>
      </w:r>
    </w:p>
    <w:p>
      <w:pPr>
        <w:pStyle w:val="BodyText"/>
        <w:bidi w:val="0"/>
        <w:rPr/>
      </w:pPr>
      <w:r>
        <w:rPr/>
        <w:t xml:space="preserve">2) соответствие порядка ведения бюджетного учёта в муниципальном образовании «Город Новоульяновск» законодательству Российской Федерации; </w:t>
      </w:r>
    </w:p>
    <w:p>
      <w:pPr>
        <w:pStyle w:val="BodyText"/>
        <w:bidi w:val="0"/>
        <w:rPr/>
      </w:pPr>
      <w:r>
        <w:rPr/>
        <w:t xml:space="preserve">3) установление достоверности годовой бюджетной отчётности главных администраторов бюджетных средств; </w:t>
      </w:r>
    </w:p>
    <w:p>
      <w:pPr>
        <w:pStyle w:val="BodyText"/>
        <w:bidi w:val="0"/>
        <w:rPr/>
      </w:pPr>
      <w:r>
        <w:rPr/>
        <w:t xml:space="preserve">4) установление соответствия фактического исполнения местного бюджета его плановым назначениям, установленным муниципальным правовым актом представительного органа муниципального образования «Город Новоульяновск» о местном бюджете; </w:t>
      </w:r>
    </w:p>
    <w:p>
      <w:pPr>
        <w:pStyle w:val="BodyText"/>
        <w:bidi w:val="0"/>
        <w:rPr/>
      </w:pPr>
      <w:r>
        <w:rPr/>
        <w:t xml:space="preserve">5) оценка эффективности и результативности использования в отчётном году средств местного бюджета; </w:t>
      </w:r>
    </w:p>
    <w:p>
      <w:pPr>
        <w:pStyle w:val="BodyText"/>
        <w:bidi w:val="0"/>
        <w:rPr/>
      </w:pPr>
      <w:r>
        <w:rPr/>
        <w:t xml:space="preserve">6) выработка рекомендаций по повышению результативности (эффективности и экономности) использования средств местного бюджета, а также средств, получаемых им из иных источников, предусмотренных законодательством Российской Федерации; </w:t>
      </w:r>
    </w:p>
    <w:p>
      <w:pPr>
        <w:pStyle w:val="BodyText"/>
        <w:bidi w:val="0"/>
        <w:rPr/>
      </w:pPr>
      <w:r>
        <w:rPr/>
        <w:t xml:space="preserve">7) подготовка Контрольно-счётной комиссией заключения на годовой отчет об исполнении местного бюджета.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9. Основными задачами проведения внешней проверки годового отчёта об исполнении местного бюджета являются: </w:t>
      </w:r>
    </w:p>
    <w:p>
      <w:pPr>
        <w:pStyle w:val="BodyText"/>
        <w:bidi w:val="0"/>
        <w:rPr/>
      </w:pPr>
      <w:r>
        <w:rPr/>
        <w:t xml:space="preserve">1) проверка соблюдения требований к порядку составления и представления годового отчёта об исполнении местного бюджета; </w:t>
      </w:r>
    </w:p>
    <w:p>
      <w:pPr>
        <w:pStyle w:val="BodyText"/>
        <w:bidi w:val="0"/>
        <w:rPr/>
      </w:pPr>
      <w:r>
        <w:rPr/>
        <w:t xml:space="preserve">2) выборочная проверка соблюдения требований законодательства по организации и ведению бюджетного учёта в муниципальном образовании «Город Новоульяновск»; </w:t>
      </w:r>
    </w:p>
    <w:p>
      <w:pPr>
        <w:pStyle w:val="BodyText"/>
        <w:bidi w:val="0"/>
        <w:rPr/>
      </w:pPr>
      <w:r>
        <w:rPr/>
        <w:t xml:space="preserve">3) проверка и анализ исполнения местного бюджета по данным годового отчёта об исполнении бюджета,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 «Город Новоульяновск»; </w:t>
      </w:r>
    </w:p>
    <w:p>
      <w:pPr>
        <w:pStyle w:val="BodyText"/>
        <w:bidi w:val="0"/>
        <w:rPr/>
      </w:pPr>
      <w:r>
        <w:rPr/>
        <w:t xml:space="preserve">4) решение прочих контрольных и экспертно-аналитических задач, направленных на совершенствование бюджетного процесса в муниципальном образовании «Город Новоульяновск» в целом; </w:t>
      </w:r>
    </w:p>
    <w:p>
      <w:pPr>
        <w:pStyle w:val="BodyText"/>
        <w:bidi w:val="0"/>
        <w:rPr/>
      </w:pPr>
      <w:r>
        <w:rPr/>
        <w:t xml:space="preserve">5) определение степени выполнения бюджетополучателями плановых заданий по предоставлению муниципальных услуг.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10. Предметом внешней проверки годового отчёта об исполнении местного бюджета являются: </w:t>
      </w:r>
    </w:p>
    <w:p>
      <w:pPr>
        <w:pStyle w:val="BodyText"/>
        <w:bidi w:val="0"/>
        <w:rPr/>
      </w:pPr>
      <w:r>
        <w:rPr/>
        <w:t xml:space="preserve">1) представленный за отчётный финансовый год годовой отчёт об исполнении местного бюджета; </w:t>
      </w:r>
    </w:p>
    <w:p>
      <w:pPr>
        <w:pStyle w:val="BodyText"/>
        <w:bidi w:val="0"/>
        <w:rPr/>
      </w:pPr>
      <w:r>
        <w:rPr/>
        <w:t xml:space="preserve">2) годовая бюджетная отчётность главных администраторов бюджетных средств.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11. Объектами внешней проверки годового отчёта об исполнении местного бюджета являются главные администраторы  бюджетных средств. </w:t>
      </w:r>
    </w:p>
    <w:p>
      <w:pPr>
        <w:pStyle w:val="BodyText"/>
        <w:bidi w:val="0"/>
        <w:rPr/>
      </w:pPr>
      <w:r>
        <w:rPr/>
        <w:t xml:space="preserve">Глава 3. Методические основы проведения внешней проверки годового отчёта об исполнении местного бюджета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12. Методической основой внешней проверки годового отчёта об исполнении местного бюджета является сравнительный анализ показателей, составляющих информационную основу, между собой и соответствие годового отчёта об исполнении местного бюджета муниципальному правовому акту представительного органа муниципального образования «Город Новоульяновск» о местном бюджете, требованиям Бюджетного кодекса Российской Федерации, Устава муниципального образования «Город Новоульяновск» и Положения о бюджетном процессе в муниципальном образовании «Город Новоульяновск», утверждённого соответствующим правовым актом представительного органа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13. Основным методологическим принципом внешней проверки годового отчёта об исполнении местного бюджета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бухгалтерских, отчётных и иных документах главных администраторов  бюджетных средств. </w:t>
      </w:r>
    </w:p>
    <w:p>
      <w:pPr>
        <w:pStyle w:val="BodyText"/>
        <w:bidi w:val="0"/>
        <w:rPr/>
      </w:pPr>
      <w:r>
        <w:rPr/>
        <w:t xml:space="preserve">В целях определения эффективности использования средств местного бюджета возможно сопоставление данных за ряд лет.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14. Основными приёмами финансового анализа по данным годовой бюджетной отчётности главных администраторов бюджетных средств являются: </w:t>
      </w:r>
    </w:p>
    <w:p>
      <w:pPr>
        <w:pStyle w:val="BodyText"/>
        <w:bidi w:val="0"/>
        <w:rPr/>
      </w:pPr>
      <w:r>
        <w:rPr/>
        <w:t xml:space="preserve">1) чтение бюджетной отчётности главных администраторов  бюджетных средств; </w:t>
      </w:r>
    </w:p>
    <w:p>
      <w:pPr>
        <w:pStyle w:val="BodyText"/>
        <w:bidi w:val="0"/>
        <w:rPr/>
      </w:pPr>
      <w:r>
        <w:rPr/>
        <w:t xml:space="preserve">2) горизонтальный анализ бюджетной отчётности главных администраторов  бюджетных средств; </w:t>
      </w:r>
    </w:p>
    <w:p>
      <w:pPr>
        <w:pStyle w:val="BodyText"/>
        <w:bidi w:val="0"/>
        <w:rPr/>
      </w:pPr>
      <w:r>
        <w:rPr/>
        <w:t xml:space="preserve">3) вертикальный анализ бюджетной отчётности главных администраторов  бюджетных средств.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15. Чтение бюджетной отчётности главных администраторов  бюджетных средств представляет собой информационное ознакомление с финансовым положением субъекта анализа по данным баланса, сопутствующим формам и приложениям к ним. </w:t>
      </w:r>
    </w:p>
    <w:p>
      <w:pPr>
        <w:pStyle w:val="BodyText"/>
        <w:bidi w:val="0"/>
        <w:rPr/>
      </w:pPr>
      <w:r>
        <w:rPr/>
        <w:t xml:space="preserve">По данным полученным в результате чтения указанной в настоящем пункте отчётности можно судить об имущественном положении субъекта анализа, характере его деятельности, соотношении средств по их видам в составе активов и т.д. При этом, важно рассматривать показатели разных форм отчётности в их взаимосвязи.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16. 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 главных администраторов  бюджетных средств.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17. В ходе горизонтального анализа бюджетной отчётности главных администраторов  бюджетных средств 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</w:t>
      </w:r>
    </w:p>
    <w:p>
      <w:pPr>
        <w:pStyle w:val="BodyText"/>
        <w:bidi w:val="0"/>
        <w:rPr/>
      </w:pPr>
      <w:r>
        <w:rPr/>
        <w:t xml:space="preserve">Указанный в настоящем пункте анализ позволяет выявить тенденции изменений отдельных показателей, входящих в состав отчётности. </w:t>
      </w:r>
    </w:p>
    <w:p>
      <w:pPr>
        <w:pStyle w:val="BodyText"/>
        <w:bidi w:val="0"/>
        <w:rPr/>
      </w:pPr>
      <w:r>
        <w:rPr/>
        <w:t>     </w:t>
      </w:r>
      <w:r>
        <w:rPr/>
        <w:t xml:space="preserve">18. В ходе вертикального анализа бюджетной отчётности главных администраторов  бюджетных средств осуществляется вычисление удельного веса отдельных статей в итоге отчёта, выяснение структуры. </w:t>
      </w:r>
    </w:p>
    <w:p>
      <w:pPr>
        <w:pStyle w:val="BodyText"/>
        <w:bidi w:val="0"/>
        <w:rPr/>
      </w:pPr>
      <w:r>
        <w:rPr/>
        <w:t xml:space="preserve">Указанный в настоящем пункте анализ заключается в определении структуры итоговых финансовых показателей субъекта анализа с выявлением влияния каждой позиции отчётности на результат в целом.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В процессе такого анализа целесообразно использование не только данных бюджетной отчётности субъекта анализа, но и результатов проведённых в отношении него контрольных мероприятий, входящих и исходящих писем по вопросам финансово-хозяйственной деятельности, плановой информации и данных внутренних отчётов. Ознакомление с указанными документами позволяет получить дополнительный материал для всестороннего изучения специфики деятельности субъекта анализа. </w:t>
      </w:r>
    </w:p>
    <w:p>
      <w:pPr>
        <w:pStyle w:val="BodyText"/>
        <w:bidi w:val="0"/>
        <w:rPr/>
      </w:pPr>
      <w:r>
        <w:rPr/>
        <w:t xml:space="preserve">Глава 4. Организация и проведение внешней проверки </w:t>
      </w:r>
    </w:p>
    <w:p>
      <w:pPr>
        <w:pStyle w:val="BodyText"/>
        <w:bidi w:val="0"/>
        <w:rPr/>
      </w:pPr>
      <w:r>
        <w:rPr/>
        <w:t xml:space="preserve">годового отчёта об исполнении местного бюджета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19. Внешняя проверка годового отчёта об исполнении местного бюджета предусматривает проверку: </w:t>
      </w:r>
    </w:p>
    <w:p>
      <w:pPr>
        <w:pStyle w:val="BodyText"/>
        <w:bidi w:val="0"/>
        <w:rPr/>
      </w:pPr>
      <w:r>
        <w:rPr/>
        <w:t xml:space="preserve">1) годового отчёта об исполнении местного бюджета; </w:t>
      </w:r>
    </w:p>
    <w:p>
      <w:pPr>
        <w:pStyle w:val="BodyText"/>
        <w:bidi w:val="0"/>
        <w:rPr/>
      </w:pPr>
      <w:r>
        <w:rPr/>
        <w:t xml:space="preserve">2) годовой бюджетной отчётности главных администраторов бюджетных средств.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20. Годовой отчёт об исполнении местного бюджета направляется в Контрольно-счётную комиссию администрацией города Ульяновска. </w:t>
      </w:r>
    </w:p>
    <w:p>
      <w:pPr>
        <w:pStyle w:val="BodyText"/>
        <w:bidi w:val="0"/>
        <w:rPr/>
      </w:pPr>
      <w:r>
        <w:rPr/>
        <w:t xml:space="preserve">Годовая бюджетная отчётность главных администраторов бюджетных средств направляется в Контрольно-счётную комиссию соответствующими главными администраторами бюджетных средств.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21. Внешняя проверка годового отчёта об исполнении местного бюджета проводится в соответствии планом работы Контрольно-счётной комиссии, утверждаемым Контрольно-счётной комиссией ежегодно. </w:t>
      </w:r>
    </w:p>
    <w:p>
      <w:pPr>
        <w:pStyle w:val="BodyText"/>
        <w:bidi w:val="0"/>
        <w:rPr/>
      </w:pPr>
      <w:r>
        <w:rPr/>
        <w:t xml:space="preserve">При проведении указанной в настоящем пункте проверке в части вопросов, не урегулированных Стандартом, подлежит применению   утверждённый Распоряжением Председателя Контрольно-счётной комиссии Стандарт финансового контроля «Общие правила проведения экспертно-аналитического мероприятия». </w:t>
      </w:r>
    </w:p>
    <w:p>
      <w:pPr>
        <w:pStyle w:val="BodyText"/>
        <w:bidi w:val="0"/>
        <w:rPr/>
      </w:pPr>
      <w:r>
        <w:rPr/>
        <w:t xml:space="preserve">  </w:t>
      </w:r>
      <w:r>
        <w:rPr/>
        <w:t xml:space="preserve">22. При проведении внешней проверки годового отчёта об исполнении местного бюджета проводится проверка порядка организации и реализации бюджетного процесса в муниципальном образовании «Город Новоульяновск», проверка непосредственно годовой отчётности об исполнении местного бюджета, а также прочие контрольные (аналитические) процедуры, в том числе по результатам камеральной проверки. </w:t>
      </w:r>
    </w:p>
    <w:p>
      <w:pPr>
        <w:pStyle w:val="BodyText"/>
        <w:bidi w:val="0"/>
        <w:rPr/>
      </w:pPr>
      <w:r>
        <w:rPr/>
        <w:t xml:space="preserve">  </w:t>
      </w:r>
      <w:r>
        <w:rPr/>
        <w:t xml:space="preserve">23. Проверка порядка организации и реализации бюджетного процесса в муниципальном образовании «Город Новоульяновск» включает: </w:t>
      </w:r>
    </w:p>
    <w:p>
      <w:pPr>
        <w:pStyle w:val="BodyText"/>
        <w:bidi w:val="0"/>
        <w:rPr/>
      </w:pPr>
      <w:r>
        <w:rPr/>
        <w:t xml:space="preserve">1) проверку на соответствие требованиям Бюджетного кодекса Российской Федерации, Устава муниципального образования «Город Новоульяновск», Положения о бюджетном процессе в муниципальном образовании «Город Новоульяновск», утверждённого соответствующим решением Городской Думы МО «Город Новоульяновск», решения Городской Думы МО «Город Новоульяновск» о местном бюджете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 </w:t>
      </w:r>
    </w:p>
    <w:p>
      <w:pPr>
        <w:pStyle w:val="BodyText"/>
        <w:bidi w:val="0"/>
        <w:rPr/>
      </w:pPr>
      <w:r>
        <w:rPr/>
        <w:t xml:space="preserve">2) анализ исполнения местного бюджета за отчётный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 </w:t>
      </w:r>
    </w:p>
    <w:p>
      <w:pPr>
        <w:pStyle w:val="BodyText"/>
        <w:bidi w:val="0"/>
        <w:rPr/>
      </w:pPr>
      <w:r>
        <w:rPr/>
        <w:t xml:space="preserve">3) 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>
      <w:pPr>
        <w:pStyle w:val="BodyText"/>
        <w:bidi w:val="0"/>
        <w:rPr/>
      </w:pPr>
      <w:r>
        <w:rPr/>
        <w:t>      </w:t>
      </w:r>
      <w:r>
        <w:rPr/>
        <w:t xml:space="preserve">24. Проверка непосредственного годовой отчётности об исполнении местного бюджета включает: </w:t>
      </w:r>
    </w:p>
    <w:p>
      <w:pPr>
        <w:pStyle w:val="BodyText"/>
        <w:bidi w:val="0"/>
        <w:rPr/>
      </w:pPr>
      <w:r>
        <w:rPr/>
        <w:t xml:space="preserve">1) проверку на соответствие порядка подготовки годовой отчётности (по форме и полноте представления) требованиям законодательства о бюджетной отчётности; </w:t>
      </w:r>
    </w:p>
    <w:p>
      <w:pPr>
        <w:pStyle w:val="BodyText"/>
        <w:bidi w:val="0"/>
        <w:rPr/>
      </w:pPr>
      <w:r>
        <w:rPr/>
        <w:t xml:space="preserve">2) проверку на соответствие показателей отчётности данным представленных субъектом анализа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отчётности (достоверность показателей годового отчета); </w:t>
      </w:r>
    </w:p>
    <w:p>
      <w:pPr>
        <w:pStyle w:val="BodyText"/>
        <w:bidi w:val="0"/>
        <w:rPr/>
      </w:pPr>
      <w:r>
        <w:rPr/>
        <w:t xml:space="preserve">3) проверку на соответствие плановых показателей, указанных в отчётности главных администраторов бюджетных средств, показателям утверждённого бюджета с учётом изменений внесённых в ходе его исполнения; </w:t>
      </w:r>
    </w:p>
    <w:p>
      <w:pPr>
        <w:pStyle w:val="BodyText"/>
        <w:bidi w:val="0"/>
        <w:rPr/>
      </w:pPr>
      <w:r>
        <w:rPr/>
        <w:t xml:space="preserve">4) проверку на соответствие фактических показателей, указанных в отчётности главных администраторов бюджетных средств, данным отчётности подведомственных им получателям бюджетных средств; </w:t>
      </w:r>
    </w:p>
    <w:p>
      <w:pPr>
        <w:pStyle w:val="BodyText"/>
        <w:bidi w:val="0"/>
        <w:rPr/>
      </w:pPr>
      <w:r>
        <w:rPr/>
        <w:t xml:space="preserve">5) корректность формирования сводной отчётности, консолидации показателей, а именно правильность суммирования одноименных показателей форм бюджетной отчётности получателями бюджетных средств,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 </w:t>
      </w:r>
    </w:p>
    <w:p>
      <w:pPr>
        <w:pStyle w:val="BodyText"/>
        <w:bidi w:val="0"/>
        <w:rPr/>
      </w:pPr>
      <w:r>
        <w:rPr/>
        <w:t xml:space="preserve">6) установление полноты бюджетной отчётности главных администраторов бюджетных средств и её соответствия требованиям нормативных правовых актов (анализ представленной к проверке отчётности по составу, содержанию, прозрачности и информативности показателей (под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главных администраторов бюджетных средств)); </w:t>
      </w:r>
    </w:p>
    <w:p>
      <w:pPr>
        <w:pStyle w:val="BodyText"/>
        <w:bidi w:val="0"/>
        <w:rPr/>
      </w:pPr>
      <w:r>
        <w:rPr/>
        <w:t xml:space="preserve">7) проверку соблюдения контрольных соотношений (арифметических увязок) между показателями различных форм отчетности и пояснительной записки.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25. Проведение прочих контрольных (аналитических) процедур, в том числе по результатам камеральной проверки, включает: </w:t>
      </w:r>
    </w:p>
    <w:p>
      <w:pPr>
        <w:pStyle w:val="BodyText"/>
        <w:bidi w:val="0"/>
        <w:rPr/>
      </w:pPr>
      <w:r>
        <w:rPr/>
        <w:t xml:space="preserve">1) анализ структуры дебиторской и кредиторской задолженности на начало и конец отчётного периода, причин и сроков их возникновения; </w:t>
      </w:r>
    </w:p>
    <w:p>
      <w:pPr>
        <w:pStyle w:val="BodyText"/>
        <w:bidi w:val="0"/>
        <w:rPr/>
      </w:pPr>
      <w:r>
        <w:rPr/>
        <w:t xml:space="preserve">2) анализ структуры расходов бюджета, их соответствия кодам бюджетной классификации; </w:t>
      </w:r>
    </w:p>
    <w:p>
      <w:pPr>
        <w:pStyle w:val="BodyText"/>
        <w:bidi w:val="0"/>
        <w:rPr/>
      </w:pPr>
      <w:r>
        <w:rPr/>
        <w:t xml:space="preserve">3) анализ соблюдения методологии бюджетного учёта, формирования бюджетных регистров; </w:t>
      </w:r>
    </w:p>
    <w:p>
      <w:pPr>
        <w:pStyle w:val="BodyText"/>
        <w:bidi w:val="0"/>
        <w:rPr/>
      </w:pPr>
      <w:r>
        <w:rPr/>
        <w:t xml:space="preserve">4) анализ эффективности и результативности использования бюджетных средств (выполнение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  главного администратора бюджетных средств); </w:t>
      </w:r>
    </w:p>
    <w:p>
      <w:pPr>
        <w:pStyle w:val="BodyText"/>
        <w:bidi w:val="0"/>
        <w:rPr/>
      </w:pPr>
      <w:r>
        <w:rPr/>
        <w:t xml:space="preserve">5) 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>
      <w:pPr>
        <w:pStyle w:val="BodyText"/>
        <w:bidi w:val="0"/>
        <w:rPr/>
      </w:pPr>
      <w:r>
        <w:rPr/>
        <w:t xml:space="preserve">    </w:t>
      </w:r>
      <w:r>
        <w:rPr/>
        <w:t xml:space="preserve">26. По результатам проведения внешней проверки годового отчёта об исполнении местного бюджета Контрольно-счётная комиссия готовит заключение на годовой отчёт об исполнении местного бюджета (далее по тексту настоящей главы - заключение). </w:t>
      </w:r>
    </w:p>
    <w:p>
      <w:pPr>
        <w:pStyle w:val="BodyText"/>
        <w:bidi w:val="0"/>
        <w:rPr/>
      </w:pPr>
      <w:r>
        <w:rPr/>
        <w:t xml:space="preserve">Заключение подготавливается с учётом данных внешней проверки годовой бюджетной отчетности главных администраторов бюджетных средств. </w:t>
      </w:r>
    </w:p>
    <w:p>
      <w:pPr>
        <w:pStyle w:val="BodyText"/>
        <w:bidi w:val="0"/>
        <w:rPr/>
      </w:pPr>
      <w:r>
        <w:rPr/>
        <w:t xml:space="preserve">Типовая форма заключения приведена в Приложении к Стандарту. </w:t>
      </w:r>
    </w:p>
    <w:p>
      <w:pPr>
        <w:pStyle w:val="BodyText"/>
        <w:bidi w:val="0"/>
        <w:rPr/>
      </w:pPr>
      <w:r>
        <w:rPr/>
        <w:t xml:space="preserve">    </w:t>
      </w:r>
      <w:r>
        <w:rPr/>
        <w:t xml:space="preserve">27. Заключение представляется Контрольно-счетной комиссией в Городскую Думу МО «Город Новоульяновск» с одновременным направлением его в администрацию города Ульяновска. </w:t>
      </w:r>
    </w:p>
    <w:p>
      <w:pPr>
        <w:pStyle w:val="BodyText"/>
        <w:bidi w:val="0"/>
        <w:spacing w:before="0" w:after="140"/>
        <w:rPr/>
      </w:pPr>
      <w:r>
        <w:rPr/>
        <w:t>   </w:t>
      </w:r>
      <w:r>
        <w:rPr/>
        <w:t>28. Направление годового отчёта об исполнении местного бюджета и годовой бюджетной отчётности  главных администраторов бюджетных средств в Контрольно-счётную комиссию, подготовка заключения и его представление в Городскую Думу МО «Город Новоульяновск», а также направление заключения в администрацию города Ульяновска осуществляются в порядке и сроки, установленные Положением о бюджетном процессе в муниципальном образовании «Город Новоульяновск», утверждённым соответствующим решением Городской Думы МО «Город Новоульяновск».</w:t>
        <w:br/>
        <w:br/>
        <w:t xml:space="preserve">Приложение к Стандарту (заключение о результатах проведённого экспертно-аналитического мероприятия по внешней проверке годового отчёта об исполнении бюджета муниципального образования "города Ульяновск" </w:t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9</Pages>
  <Words>1961</Words>
  <Characters>15477</Characters>
  <CharactersWithSpaces>17659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2024-02-14T08:05:06Z</dcterms:created>
  <dc:creator/>
  <dc:description/>
  <dc:language>ru-RU</dc:language>
  <cp:lastModifiedBy/>
  <dcterms:modified xsi:type="dcterms:W3CDTF">2024-02-14T08:05:23Z</dcterms:modified>
  <cp:revision>2</cp:revision>
  <dc:subject/>
  <dc:title>style - основной (АДМ)</dc:title>
</cp:coreProperties>
</file>