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>
          <w:b/>
          <w:bCs/>
        </w:rPr>
      </w:pPr>
      <w:r>
        <w:rPr>
          <w:b/>
          <w:bCs/>
        </w:rPr>
        <w:t xml:space="preserve">План работы МУ Контрольно-счетная комиссия города Новоульяновска на 2020 год </w:t>
      </w:r>
    </w:p>
    <w:p>
      <w:pPr>
        <w:pStyle w:val="BodyText"/>
        <w:bidi w:val="0"/>
        <w:ind w:hanging="0" w:left="0" w:right="0"/>
        <w:rPr/>
      </w:pPr>
      <w:r>
        <w:rPr/>
        <w:t> </w:t>
      </w:r>
      <w:bookmarkStart w:id="0" w:name="bx-cursor-node"/>
      <w:bookmarkEnd w:id="0"/>
      <w:r>
        <w:rPr/>
        <w:t xml:space="preserve"> 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95"/>
        <w:gridCol w:w="3687"/>
        <w:gridCol w:w="2211"/>
        <w:gridCol w:w="2445"/>
      </w:tblGrid>
      <w:tr>
        <w:trPr/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№ </w:t>
            </w:r>
            <w:r>
              <w:rPr/>
              <w:t xml:space="preserve">п\п </w:t>
            </w:r>
          </w:p>
        </w:tc>
        <w:tc>
          <w:tcPr>
            <w:tcW w:w="368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Наименование мероприятий </w:t>
            </w:r>
          </w:p>
        </w:tc>
        <w:tc>
          <w:tcPr>
            <w:tcW w:w="22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Срок проведения 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Ответственное лицо за исполнение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Экспертно-аналитическая деятельность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1.1.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Экспертиза проектов решений и иных нормативных актов по бюджетно-финансовым вопросам, вопросам  управления муниципальной собственностью, вносимых на рассмотрение Городской Думы муниципального образования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1.2.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Отчёт о работе Муниципального учреждения Контрольный орган (ревизионная комиссия)  муниципального образования «Город Новоульяновск» за 2019г.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Февраль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1.3.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Внешняя проверка отчета об исполнении бюджета МО «Город Новоульяновск» за 2019 год  и подготовка заключения на проект Решения Городской Думы МО «Город Новоульяновск» «Об исполнении бюджета МО «Город Новоульяновск» за 2019 год».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Апрель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1.4.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Подготовка заключения на проект решения Городской Думы МО «Город Новоульяновск» «О бюджете муниципального образования «Город Новоульяновск» на 2021 г.и плановый период 2022-2023 годов Анализ параметров проекта бюджета муниципального образования на 2021 год и плановый период 2022 – 2023 годов.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Октябрь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1.6.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Участие в экспертно-аналитических мероприятиях по проверке использования средств областного бюджета, федерального бюджета, выделенных на реализацию приоритетных национальных проектов, проводимых Счётной палатой Ульяновской области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1.7.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Подготовка плана работы МУ Контрольно-счетная комиссия города Новоульяновска на 2021 год.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Декабрь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Контрольные мероприятия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исполнения предписаний  направленных учреждениям и предприятиям МУ Контрольно-счетная комиссия города Новоульяновска по итогам проверок 2019 года.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Январь – февраль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2.2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МДОУ «детский сад «АБВГДейка».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2.3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МДОУ детский сад «Колокольчик».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2.4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МОУ Новоульяновская средняя школа № 1.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II квартал 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2.5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МУ ДО  Криушинская школа исскуств.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III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2.6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рамках национального проекта «Экология» федерального проекта «Оздоровление Волги»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IV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2.7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МОУ Новоульяновская средняя школа № 2.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IV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2.8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исполнения предписаний МУ Контрольный орган МО «Город Новоульяновск» по итогам ранее проведенных проверок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2.9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Внеплановые проверки на основании решения Городской Думы муниципального образования «Город Новоульяновск» и поручения Главы муниципального образования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По мере поступлений письменных обращений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2.10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Участие в контрольных мероприятиях по проверке использования средств федерального бюджета, областного бюджета выделенных на реализацию приоритетных национальных проектов, проводимых Счётной Палатой Ульяновской области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2.11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Работа с письмами, обращениями, жалобами и запросами.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Организационная деятельность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Участие в работе Городской Думы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3.2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Представление информации о результатах проведенных проверок Главе МО «Город Новоульяновск», Главе администрации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3.3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3.4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Участие в работе Областного совета органов внешнего финансового контроля  Ульяновской области, участие в совещаниях, семинарах организуемых отраслевыми  министерствами и ведомствами по вопросам контроля.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3.5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Сотрудничество с правоохранительными органами по реализации материалов проведенных проверок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3.6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Обеспечение своевременного освещения деятельности МУ Контрольно-счетная комиссия города Новоульяновска в средствах массовой информации и на сайте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3.7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Разработка и совершенствование организационной и методической документации (методических пособий, инструкций) по проведению контрольных и экспертно-аналитических мероприятий Контрольно-счетной комиссии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</w:tbl>
    <w:p>
      <w:pPr>
        <w:pStyle w:val="Normal"/>
        <w:bidi w:val="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7</Pages>
  <Words>693</Words>
  <Characters>5424</Characters>
  <CharactersWithSpaces>6130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2024-02-13T15:34:33Z</dcterms:created>
  <dc:creator/>
  <dc:description/>
  <dc:language>ru-RU</dc:language>
  <cp:lastModifiedBy/>
  <dcterms:modified xsi:type="dcterms:W3CDTF">2024-02-13T15:34:56Z</dcterms:modified>
  <cp:revision>2</cp:revision>
  <dc:subject/>
  <dc:title>style - основной (АДМ)</dc:title>
</cp:coreProperties>
</file>