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860" w:leader="none"/>
        </w:tabs>
        <w:ind w:hanging="0" w:left="-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99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1325"/>
        <w:gridCol w:w="2581"/>
        <w:gridCol w:w="1394"/>
        <w:gridCol w:w="29"/>
        <w:gridCol w:w="1264"/>
      </w:tblGrid>
      <w:tr>
        <w:trPr>
          <w:trHeight w:val="1796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642" w:leader="none"/>
              </w:tabs>
              <w:ind w:hanging="0" w:right="-588"/>
              <w:jc w:val="center"/>
              <w:rPr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16255" cy="60261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«Город Новоульяновск»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П О С Т А Н О В Л Е Н И Е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81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39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93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4727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8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4727" w:type="dxa"/>
            <w:gridSpan w:val="2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/>
            </w:pPr>
            <w:r>
              <w:rPr/>
            </w:r>
          </w:p>
        </w:tc>
        <w:tc>
          <w:tcPr>
            <w:tcW w:w="2581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/>
            </w:r>
          </w:p>
        </w:tc>
        <w:tc>
          <w:tcPr>
            <w:tcW w:w="268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860" w:leader="none"/>
        </w:tabs>
        <w:rPr/>
      </w:pPr>
      <w:r>
        <w:rPr/>
      </w:r>
    </w:p>
    <w:tbl>
      <w:tblPr>
        <w:tblW w:w="101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88"/>
      </w:tblGrid>
      <w:tr>
        <w:trPr>
          <w:trHeight w:val="905" w:hRule="atLeast"/>
        </w:trPr>
        <w:tc>
          <w:tcPr>
            <w:tcW w:w="1018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7740" w:leader="none"/>
              </w:tabs>
              <w:ind w:hanging="0" w:left="459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  <w:br/>
              <w:t>Администрации муниципального образования</w:t>
              <w:br/>
              <w:t>«Город Новоульяновск» Ульяновской области</w:t>
              <w:br/>
              <w:t>от 12 ноября 2020 г. № 625-П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740" w:leader="none"/>
              </w:tabs>
              <w:ind w:hanging="0" w:left="459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7740" w:leader="none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Новоульяновск» Ульяновской области постановляет:</w:t>
      </w:r>
    </w:p>
    <w:p>
      <w:pPr>
        <w:pStyle w:val="Normal"/>
        <w:tabs>
          <w:tab w:val="clear" w:pos="709"/>
          <w:tab w:val="left" w:pos="0" w:leader="none"/>
        </w:tabs>
        <w:ind w:firstLine="709" w:right="44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«Координация мероприятий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использованию информационно-коммуникационных технологий, созданию, развитию, модернизации, эксплуатации информационных систем и 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области», утвержденную постановлением Администрации муниципального образования «Город Новоульяновск» Ульяновской области от 12 ноября 2020 г. № 625-П «</w:t>
      </w:r>
      <w:r>
        <w:rPr>
          <w:bCs/>
          <w:sz w:val="28"/>
          <w:szCs w:val="28"/>
        </w:rPr>
        <w:t>Об утверждении муниципальной программы 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</w:t>
      </w:r>
      <w:r>
        <w:rPr>
          <w:sz w:val="28"/>
          <w:szCs w:val="28"/>
        </w:rPr>
        <w:t>», следующие изменения:</w:t>
      </w:r>
    </w:p>
    <w:p>
      <w:pPr>
        <w:pStyle w:val="24"/>
        <w:tabs>
          <w:tab w:val="clear" w:pos="709"/>
          <w:tab w:val="left" w:pos="1260" w:leader="none"/>
        </w:tabs>
        <w:spacing w:lineRule="auto" w:line="240" w:before="0" w:after="0"/>
        <w:ind w:firstLine="709"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4"/>
        <w:tabs>
          <w:tab w:val="clear" w:pos="709"/>
          <w:tab w:val="left" w:pos="1260" w:leader="none"/>
        </w:tabs>
        <w:spacing w:lineRule="auto" w:line="240" w:before="0" w:after="0"/>
        <w:ind w:firstLine="709"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строку «Ожидаемый эффект от реализации муниципальной программы» Паспорта изложить в следующей редакции:</w:t>
      </w:r>
    </w:p>
    <w:p>
      <w:pPr>
        <w:pStyle w:val="24"/>
        <w:tabs>
          <w:tab w:val="clear" w:pos="709"/>
          <w:tab w:val="left" w:pos="1260" w:leader="none"/>
        </w:tabs>
        <w:spacing w:lineRule="auto" w:line="240" w:before="0" w:after="0"/>
        <w:ind w:hanging="0"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05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5"/>
        <w:gridCol w:w="5809"/>
      </w:tblGrid>
      <w:tr>
        <w:trPr>
          <w:trHeight w:val="370" w:hRule="atLeast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результате выполнения муниципальной программы будут выполнены все поставленные цели и достигнуты целевые индикаторы: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компьютеров, оргтехники, средств связи и периферийного оборудования, установленные на рабочих местах, со сроком эксплуатации менее 5 лет – 80%;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работников, имеющих доступ к справочно-информационной базе – 100%;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компьютеров, используемых для работы в государственных информационных системах, муниципальных информационных системах и информационных системах персональных данных, имеющие необходимые средства защиты информации – 100%;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 с установленным сертифицированным антивирусным программным обеспечением – 100%;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Время доступности официального сайта Администрации в сети «Интернет» - 365 дней в год;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Время доступа в локальную сеть и сеть «Интернет» - 365 дней в год;</w:t>
            </w:r>
          </w:p>
          <w:p>
            <w:pPr>
              <w:pStyle w:val="ConsPlusCel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 с установленными отечественными операционными системами и офисными пакетами – 50%;</w:t>
            </w:r>
          </w:p>
          <w:p>
            <w:pPr>
              <w:pStyle w:val="ConsPlusCel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Количество приобретенных персональных компьютеров и многофункциональных устройств для МБУ "Централизованная Бухгалтерия" МО"Город Новоульяновск" - 1 шт.</w:t>
            </w:r>
          </w:p>
        </w:tc>
      </w:tr>
    </w:tbl>
    <w:p>
      <w:pPr>
        <w:pStyle w:val="24"/>
        <w:tabs>
          <w:tab w:val="clear" w:pos="709"/>
          <w:tab w:val="left" w:pos="1260" w:leader="none"/>
        </w:tabs>
        <w:spacing w:lineRule="auto" w:line="240" w:before="0" w:after="0"/>
        <w:ind w:firstLine="709" w:left="0"/>
        <w:jc w:val="right"/>
        <w:rPr>
          <w:rFonts w:ascii="Times New Roman" w:hAnsi="Times New Roman"/>
          <w:sz w:val="28"/>
          <w:szCs w:val="28"/>
        </w:rPr>
      </w:pPr>
      <w:r>
        <w:rPr/>
        <w:t>»;</w:t>
      </w:r>
    </w:p>
    <w:p>
      <w:pPr>
        <w:pStyle w:val="24"/>
        <w:tabs>
          <w:tab w:val="clear" w:pos="709"/>
          <w:tab w:val="left" w:pos="1260" w:leader="none"/>
        </w:tabs>
        <w:spacing w:lineRule="auto" w:line="240" w:before="0" w:after="0"/>
        <w:ind w:firstLine="709"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740" w:leader="none"/>
        </w:tabs>
        <w:ind w:firstLine="709" w:right="-98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 приложение 1 к Программе изложить в следующей редакции:</w:t>
      </w:r>
    </w:p>
    <w:p>
      <w:pPr>
        <w:pStyle w:val="Normal"/>
        <w:tabs>
          <w:tab w:val="clear" w:pos="709"/>
          <w:tab w:val="left" w:pos="7740" w:leader="none"/>
        </w:tabs>
        <w:ind w:firstLine="709" w:right="-9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«Приложение 1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Программе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ПЕРЕЧЕНЬ ЦЕЛЕВЫХ ИНДИКАТОРОВ</w:t>
        <w:br/>
      </w:r>
      <w:r>
        <w:rPr>
          <w:b/>
          <w:sz w:val="28"/>
          <w:szCs w:val="28"/>
        </w:rPr>
        <w:t xml:space="preserve">муниципальной программы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муниципального образования </w:t>
        <w:br/>
        <w:t xml:space="preserve">«Город Новоульяновск» Ульяновской области </w:t>
        <w:br/>
      </w:r>
      <w:r>
        <w:rPr>
          <w:b/>
          <w:sz w:val="28"/>
          <w:szCs w:val="28"/>
        </w:rPr>
        <w:t>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</w:t>
      </w:r>
    </w:p>
    <w:p>
      <w:pPr>
        <w:pStyle w:val="Normal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Style w:val="a9"/>
        <w:tblW w:w="982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94"/>
        <w:gridCol w:w="3847"/>
        <w:gridCol w:w="1496"/>
        <w:gridCol w:w="696"/>
        <w:gridCol w:w="700"/>
        <w:gridCol w:w="696"/>
        <w:gridCol w:w="699"/>
        <w:gridCol w:w="697"/>
        <w:gridCol w:w="698"/>
      </w:tblGrid>
      <w:tr>
        <w:trPr/>
        <w:tc>
          <w:tcPr>
            <w:tcW w:w="29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3847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eastAsiaTheme="minorHAnsi"/>
                <w:sz w:val="18"/>
                <w:szCs w:val="18"/>
                <w:lang w:eastAsia="en-US"/>
              </w:rPr>
              <w:t>Наименование целевого индикатора,</w:t>
              <w:br/>
              <w:t>единица измерения</w:t>
            </w:r>
          </w:p>
        </w:tc>
        <w:tc>
          <w:tcPr>
            <w:tcW w:w="149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Базовое значение целевого индикатора</w:t>
            </w:r>
          </w:p>
        </w:tc>
        <w:tc>
          <w:tcPr>
            <w:tcW w:w="4186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Значения целевого индикатора</w:t>
            </w:r>
          </w:p>
        </w:tc>
      </w:tr>
      <w:tr>
        <w:trPr/>
        <w:tc>
          <w:tcPr>
            <w:tcW w:w="29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7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2021</w:t>
              <w:br/>
              <w:t>год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2022</w:t>
              <w:br/>
              <w:t>год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2023</w:t>
              <w:br/>
              <w:t>год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2024</w:t>
              <w:br/>
              <w:t>год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2025</w:t>
              <w:br/>
              <w:t>год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  <w:br/>
              <w:t>год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rPr/>
        <w:tc>
          <w:tcPr>
            <w:tcW w:w="2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38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компьютеров, оргтехники, средств связи и периферийного оборудования, установленные на рабочих местах, со сроком эксплуатации менее 5 лет, %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9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Время доступа в локальную сеть и сеть «Интернет», дней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компьютеров, используемых для работы в государственных информационных системах, муниципальных информационных системах и информационных системах персональных данных, имеющие необходимые средства защиты информации, %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50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Время доступности официального сайта Администрации в сети «Интернет», дней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5.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 с установленными отечественными операционными системами и офисными пакетами, %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6.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работников, имеющих доступ к справочно-информационной базе, %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9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7.</w:t>
            </w:r>
          </w:p>
        </w:tc>
        <w:tc>
          <w:tcPr>
            <w:tcW w:w="38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 с установленным сертифицированным антивирусным программным обеспечением, %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7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84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приобретенных персональных компьютеров </w:t>
            </w:r>
            <w:r>
              <w:rPr>
                <w:sz w:val="18"/>
                <w:szCs w:val="18"/>
                <w:lang w:val="ru-RU"/>
              </w:rPr>
              <w:t>и многофункциональных устройств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для МБУ "Централизованная Бухгалтерия" МО"Город Новоульяновск", шт.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>
      <w:pPr>
        <w:pStyle w:val="Normal"/>
        <w:tabs>
          <w:tab w:val="clear" w:pos="709"/>
          <w:tab w:val="left" w:pos="7740" w:leader="none"/>
        </w:tabs>
        <w:ind w:firstLine="709" w:right="-9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740" w:leader="none"/>
        </w:tabs>
        <w:ind w:firstLine="709" w:right="-9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к Программе изложить в следующей редакции: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«Приложение 2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Программе</w:t>
      </w:r>
    </w:p>
    <w:p>
      <w:pPr>
        <w:pStyle w:val="Normal"/>
        <w:suppressAutoHyphens w:val="false"/>
        <w:jc w:val="center"/>
        <w:rPr/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СИСТЕМА МЕРОПРИЯТИЙ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муниципальной программы муниципального образования</w:t>
        <w:br/>
        <w:t>«Город Новоульяновск» Ульяновской области</w:t>
      </w:r>
      <w:r>
        <w:rPr>
          <w:b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>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Style w:val="a9"/>
        <w:tblW w:w="9831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4"/>
        <w:gridCol w:w="2228"/>
        <w:gridCol w:w="1282"/>
        <w:gridCol w:w="1080"/>
        <w:gridCol w:w="805"/>
        <w:gridCol w:w="604"/>
        <w:gridCol w:w="714"/>
        <w:gridCol w:w="708"/>
        <w:gridCol w:w="709"/>
        <w:gridCol w:w="662"/>
        <w:gridCol w:w="753"/>
      </w:tblGrid>
      <w:tr>
        <w:trPr>
          <w:trHeight w:val="627" w:hRule="atLeast"/>
          <w:cantSplit w:val="true"/>
        </w:trPr>
        <w:tc>
          <w:tcPr>
            <w:tcW w:w="28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22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Наименование основного мероприятия (мероприятия)</w:t>
            </w:r>
          </w:p>
        </w:tc>
        <w:tc>
          <w:tcPr>
            <w:tcW w:w="128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Ответственные исполнители мероприятия</w:t>
            </w:r>
          </w:p>
        </w:tc>
        <w:tc>
          <w:tcPr>
            <w:tcW w:w="108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Источник финансового обеспечения</w:t>
            </w:r>
          </w:p>
        </w:tc>
        <w:tc>
          <w:tcPr>
            <w:tcW w:w="4955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hanging="0"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Объем финансового обеспечения реализации мероприятий, тыс. руб.</w:t>
            </w:r>
          </w:p>
        </w:tc>
      </w:tr>
      <w:tr>
        <w:trPr>
          <w:trHeight w:val="515" w:hRule="atLeast"/>
          <w:cantSplit w:val="true"/>
        </w:trPr>
        <w:tc>
          <w:tcPr>
            <w:tcW w:w="28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2024</w:t>
              <w:br/>
              <w:t>год</w:t>
            </w:r>
          </w:p>
        </w:tc>
        <w:tc>
          <w:tcPr>
            <w:tcW w:w="66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  <w:br/>
              <w:t>год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rPr>
          <w:trHeight w:val="265" w:hRule="atLeast"/>
          <w:cantSplit w:val="true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персональных компьютеров, оргтехники, средств связи и периферийного оборудования. Приобретение инструмента, комплектующих и материалов, необходимых для ремонта персональных компьютеров, оргтехники и периферийного оборудования</w:t>
            </w:r>
          </w:p>
        </w:tc>
        <w:tc>
          <w:tcPr>
            <w:tcW w:w="1282" w:type="dxa"/>
            <w:tcBorders/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 Администрации муниципального образования «Город Новоульяновск» Ульяновской области (далее – Отдел общественных коммуникаций)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2 358,651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214,854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191,383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449,125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365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‭‬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335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861,365</w:t>
            </w:r>
          </w:p>
        </w:tc>
      </w:tr>
      <w:tr>
        <w:trPr>
          <w:trHeight w:val="265" w:hRule="atLeast"/>
          <w:cantSplit w:val="true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коммутаторов, маршрутизаторов и кабеля связи. Приобретение инструмента и расходного материала, необходимого для монтажа и подключения к сети кабеля связи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117,259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4,380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2,879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11,2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222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Приобретение программно-аппаратных средств защиты информации, средств криптографической защиты информации и иные средства, обеспечивающих безопасность информации и персональных данных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523,615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23,615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210,722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2228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Продление аренды хостинга и доменного имени для официального сайта Администрации муниципального образования «Город Новоульяновск» Ульяновской области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148,134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16,482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16,282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20,371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>
        <w:trPr>
          <w:trHeight w:val="1399" w:hRule="atLeast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и установка на персональные компьютеры работников отечественных операционных систем и офисных пакетов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760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программного обеспечения «справочно- информационная база», включенного в реестр российского программного обеспечения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1 096,533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145,284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152,976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168,274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190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7.</w:t>
            </w:r>
          </w:p>
        </w:tc>
        <w:tc>
          <w:tcPr>
            <w:tcW w:w="22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(продление) сертифицированного антивирусного лицензионного программного обеспечения, включенного в реестр российского программного обеспечения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150,808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22,808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66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>
        <w:trPr/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персональных компьютеров и многофункциональных устройств для МБУ "Централизованная Бухгалтерия" МО"Город Новоульяновск"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"Централизован-ная Бухгалтерия" МО"Город Новоульяновск"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10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hanging="0" w:left="113" w:right="57"/>
              <w:jc w:val="righ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Всего по муниципальной программе:</w:t>
            </w:r>
          </w:p>
        </w:tc>
        <w:tc>
          <w:tcPr>
            <w:tcW w:w="10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5295</w:t>
            </w:r>
          </w:p>
        </w:tc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71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406,135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1022,5</w:t>
            </w:r>
          </w:p>
        </w:tc>
        <w:tc>
          <w:tcPr>
            <w:tcW w:w="7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</w:t>
            </w:r>
          </w:p>
        </w:tc>
        <w:tc>
          <w:tcPr>
            <w:tcW w:w="662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‭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725‬</w:t>
            </w:r>
          </w:p>
        </w:tc>
        <w:tc>
          <w:tcPr>
            <w:tcW w:w="75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2 016,365</w:t>
            </w:r>
          </w:p>
        </w:tc>
      </w:tr>
    </w:tbl>
    <w:p>
      <w:pPr>
        <w:pStyle w:val="Normal"/>
        <w:jc w:val="right"/>
        <w:rPr>
          <w:rFonts w:cs="Calibri"/>
          <w:sz w:val="28"/>
          <w:szCs w:val="28"/>
        </w:rPr>
      </w:pPr>
      <w:r>
        <w:rPr/>
        <w:t>».</w:t>
      </w:r>
    </w:p>
    <w:p>
      <w:pPr>
        <w:pStyle w:val="Normal"/>
        <w:widowControl/>
        <w:suppressAutoHyphens w:val="true"/>
        <w:bidi w:val="0"/>
        <w:spacing w:before="0" w:after="0"/>
        <w:ind w:firstLine="737"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firstLine="737" w:left="0" w:righ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widowControl/>
        <w:suppressAutoHyphens w:val="true"/>
        <w:bidi w:val="0"/>
        <w:spacing w:before="0" w:after="0"/>
        <w:ind w:firstLine="737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right" w:pos="983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right" w:pos="9832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  <w:tab/>
      </w:r>
      <w:r>
        <w:rPr>
          <w:b/>
          <w:color w:val="000000"/>
          <w:sz w:val="28"/>
          <w:szCs w:val="28"/>
        </w:rPr>
        <w:t>С.А. Ильюшкин</w:t>
      </w:r>
    </w:p>
    <w:sectPr>
      <w:headerReference w:type="default" r:id="rId3"/>
      <w:headerReference w:type="first" r:id="rId4"/>
      <w:type w:val="nextPage"/>
      <w:pgSz w:w="11906" w:h="16838"/>
      <w:pgMar w:left="1440" w:right="641" w:gutter="0" w:header="720" w:top="992" w:footer="0" w:bottom="993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04663454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uiPriority w:val="99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eastAsia="ru-RU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bCs/>
      <w:color w:themeColor="accent1" w:val="4F81BD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before="200" w:after="0"/>
      <w:outlineLvl w:val="2"/>
    </w:pPr>
    <w:rPr>
      <w:rFonts w:ascii="Cambria" w:hAnsi="Cambria" w:eastAsia="Cambria" w:cs="Cambria"/>
      <w:b/>
      <w:bCs/>
      <w:color w:themeColor="accent1" w:val="4F81BD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before="200" w:after="0"/>
      <w:outlineLvl w:val="3"/>
    </w:pPr>
    <w:rPr>
      <w:rFonts w:ascii="Cambria" w:hAnsi="Cambria" w:eastAsia="Cambria" w:cs="Cambria"/>
      <w:b/>
      <w:bCs/>
      <w:i/>
      <w:iCs/>
      <w:color w:themeColor="accent1" w:val="4F81BD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2" w:customStyle="1">
    <w:name w:val="Цитата 2 Знак"/>
    <w:uiPriority w:val="29"/>
    <w:qFormat/>
    <w:rPr>
      <w:i/>
    </w:rPr>
  </w:style>
  <w:style w:type="character" w:styleId="Style6" w:customStyle="1">
    <w:name w:val="Выделенная цитата Знак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7" w:customStyle="1">
    <w:name w:val="Текст сноски Знак"/>
    <w:uiPriority w:val="99"/>
    <w:qFormat/>
    <w:rPr>
      <w:sz w:val="18"/>
    </w:rPr>
  </w:style>
  <w:style w:type="character" w:styleId="Style8">
    <w:name w:val="Символ сноски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Absatz-Standardschriftart" w:customStyle="1">
    <w:name w:val="Absatz-Standardschriftart"/>
    <w:uiPriority w:val="99"/>
    <w:qFormat/>
    <w:rPr/>
  </w:style>
  <w:style w:type="character" w:styleId="WW-Absatz-Standardschriftart" w:customStyle="1">
    <w:name w:val="WW-Absatz-Standardschriftart"/>
    <w:uiPriority w:val="99"/>
    <w:qFormat/>
    <w:rPr/>
  </w:style>
  <w:style w:type="character" w:styleId="21" w:customStyle="1">
    <w:name w:val="Основной шрифт абзаца2"/>
    <w:uiPriority w:val="99"/>
    <w:qFormat/>
    <w:rPr/>
  </w:style>
  <w:style w:type="character" w:styleId="WW-Absatz-Standardschriftart1" w:customStyle="1">
    <w:name w:val="WW-Absatz-Standardschriftart1"/>
    <w:uiPriority w:val="99"/>
    <w:qFormat/>
    <w:rPr/>
  </w:style>
  <w:style w:type="character" w:styleId="WW-Absatz-Standardschriftart11" w:customStyle="1">
    <w:name w:val="WW-Absatz-Standardschriftart11"/>
    <w:uiPriority w:val="99"/>
    <w:qFormat/>
    <w:rPr/>
  </w:style>
  <w:style w:type="character" w:styleId="WW-Absatz-Standardschriftart111" w:customStyle="1">
    <w:name w:val="WW-Absatz-Standardschriftart111"/>
    <w:uiPriority w:val="99"/>
    <w:qFormat/>
    <w:rPr/>
  </w:style>
  <w:style w:type="character" w:styleId="WW-Absatz-Standardschriftart1111" w:customStyle="1">
    <w:name w:val="WW-Absatz-Standardschriftart1111"/>
    <w:uiPriority w:val="99"/>
    <w:qFormat/>
    <w:rPr/>
  </w:style>
  <w:style w:type="character" w:styleId="WW-Absatz-Standardschriftart11111" w:customStyle="1">
    <w:name w:val="WW-Absatz-Standardschriftart11111"/>
    <w:uiPriority w:val="99"/>
    <w:qFormat/>
    <w:rPr/>
  </w:style>
  <w:style w:type="character" w:styleId="WW-Absatz-Standardschriftart111111" w:customStyle="1">
    <w:name w:val="WW-Absatz-Standardschriftart111111"/>
    <w:uiPriority w:val="99"/>
    <w:qFormat/>
    <w:rPr/>
  </w:style>
  <w:style w:type="character" w:styleId="WW8Num2z0" w:customStyle="1">
    <w:name w:val="WW8Num2z0"/>
    <w:uiPriority w:val="99"/>
    <w:qFormat/>
    <w:rPr>
      <w:b/>
      <w:bCs/>
      <w:sz w:val="24"/>
      <w:szCs w:val="24"/>
    </w:rPr>
  </w:style>
  <w:style w:type="character" w:styleId="WW8Num6z0" w:customStyle="1">
    <w:name w:val="WW8Num6z0"/>
    <w:uiPriority w:val="99"/>
    <w:qFormat/>
    <w:rPr>
      <w:b/>
      <w:bCs/>
      <w:sz w:val="24"/>
      <w:szCs w:val="24"/>
    </w:rPr>
  </w:style>
  <w:style w:type="character" w:styleId="1" w:customStyle="1">
    <w:name w:val="Основной шрифт абзаца1"/>
    <w:uiPriority w:val="99"/>
    <w:qFormat/>
    <w:rPr/>
  </w:style>
  <w:style w:type="character" w:styleId="Strong">
    <w:name w:val="Strong"/>
    <w:basedOn w:val="1"/>
    <w:uiPriority w:val="99"/>
    <w:qFormat/>
    <w:rPr>
      <w:b/>
      <w:bCs/>
    </w:rPr>
  </w:style>
  <w:style w:type="character" w:styleId="11" w:customStyle="1">
    <w:name w:val="Знак Знак1"/>
    <w:basedOn w:val="1"/>
    <w:uiPriority w:val="99"/>
    <w:qFormat/>
    <w:rPr>
      <w:lang w:val="ru-RU"/>
    </w:rPr>
  </w:style>
  <w:style w:type="character" w:styleId="Style9" w:customStyle="1">
    <w:name w:val="Знак Знак"/>
    <w:basedOn w:val="1"/>
    <w:uiPriority w:val="99"/>
    <w:qFormat/>
    <w:rPr>
      <w:lang w:val="ru-RU"/>
    </w:rPr>
  </w:style>
  <w:style w:type="character" w:styleId="Style10" w:customStyle="1">
    <w:name w:val="Символ нумерации"/>
    <w:uiPriority w:val="99"/>
    <w:qFormat/>
    <w:rPr/>
  </w:style>
  <w:style w:type="character" w:styleId="Style11" w:customStyle="1">
    <w:name w:val="Основной текст Знак"/>
    <w:basedOn w:val="DefaultParagraphFont"/>
    <w:uiPriority w:val="99"/>
    <w:semiHidden/>
    <w:qFormat/>
    <w:rPr>
      <w:sz w:val="24"/>
      <w:szCs w:val="24"/>
      <w:lang w:eastAsia="zh-CN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sz w:val="24"/>
      <w:szCs w:val="24"/>
      <w:lang w:eastAsia="zh-CN"/>
    </w:rPr>
  </w:style>
  <w:style w:type="character" w:styleId="Style13" w:customStyle="1">
    <w:name w:val="Нижний колонтитул Знак"/>
    <w:basedOn w:val="DefaultParagraphFont"/>
    <w:uiPriority w:val="99"/>
    <w:qFormat/>
    <w:rPr>
      <w:sz w:val="24"/>
      <w:szCs w:val="24"/>
      <w:lang w:eastAsia="zh-CN"/>
    </w:rPr>
  </w:style>
  <w:style w:type="character" w:styleId="Style14" w:customStyle="1">
    <w:name w:val="Основной текст_"/>
    <w:link w:val="15"/>
    <w:uiPriority w:val="99"/>
    <w:qFormat/>
    <w:rPr>
      <w:sz w:val="28"/>
      <w:szCs w:val="28"/>
      <w:shd w:fill="FFFFFF" w:val="clear"/>
    </w:rPr>
  </w:style>
  <w:style w:type="character" w:styleId="Style15" w:customStyle="1">
    <w:name w:val="Текст выноски Знак"/>
    <w:basedOn w:val="DefaultParagraphFont"/>
    <w:uiPriority w:val="99"/>
    <w:qFormat/>
    <w:rPr>
      <w:rFonts w:ascii="Tahoma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  <w:qFormat/>
    <w:rPr/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12" w:customStyle="1">
    <w:name w:val="Заголовок 1 Знак"/>
    <w:basedOn w:val="DefaultParagraphFont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Style16" w:customStyle="1">
    <w:name w:val="Подзаголовок Знак"/>
    <w:basedOn w:val="DefaultParagraphFont"/>
    <w:qFormat/>
    <w:rPr>
      <w:rFonts w:ascii="Cambria" w:hAnsi="Cambria" w:eastAsia="Cambria" w:cs="Cambria"/>
      <w:i/>
      <w:iCs/>
      <w:color w:themeColor="accent1" w:val="4F81BD"/>
      <w:spacing w:val="15"/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22" w:customStyle="1">
    <w:name w:val="Заголовок 2 Знак"/>
    <w:basedOn w:val="DefaultParagraphFont"/>
    <w:qFormat/>
    <w:rPr>
      <w:rFonts w:ascii="Cambria" w:hAnsi="Cambria" w:eastAsia="Cambria" w:cs="Cambria"/>
      <w:b/>
      <w:bCs/>
      <w:color w:themeColor="accent1" w:val="4F81BD"/>
      <w:sz w:val="26"/>
      <w:szCs w:val="26"/>
      <w:lang w:eastAsia="zh-CN"/>
    </w:rPr>
  </w:style>
  <w:style w:type="character" w:styleId="3" w:customStyle="1">
    <w:name w:val="Заголовок 3 Знак"/>
    <w:basedOn w:val="DefaultParagraphFont"/>
    <w:qFormat/>
    <w:rPr>
      <w:rFonts w:ascii="Cambria" w:hAnsi="Cambria" w:eastAsia="Cambria" w:cs="Cambria"/>
      <w:b/>
      <w:bCs/>
      <w:color w:themeColor="accent1" w:val="4F81BD"/>
      <w:sz w:val="24"/>
      <w:szCs w:val="24"/>
      <w:lang w:eastAsia="zh-CN"/>
    </w:rPr>
  </w:style>
  <w:style w:type="character" w:styleId="4" w:customStyle="1">
    <w:name w:val="Заголовок 4 Знак"/>
    <w:basedOn w:val="DefaultParagraphFont"/>
    <w:qFormat/>
    <w:rPr>
      <w:rFonts w:ascii="Cambria" w:hAnsi="Cambria" w:eastAsia="Cambria" w:cs="Cambria"/>
      <w:b/>
      <w:bCs/>
      <w:i/>
      <w:iCs/>
      <w:color w:themeColor="accent1" w:val="4F81BD"/>
      <w:sz w:val="24"/>
      <w:szCs w:val="24"/>
      <w:lang w:eastAsia="zh-CN"/>
    </w:rPr>
  </w:style>
  <w:style w:type="paragraph" w:styleId="Style17" w:customStyle="1">
    <w:name w:val="Заголовок"/>
    <w:basedOn w:val="Normal"/>
    <w:next w:val="BodyText"/>
    <w:uiPriority w:val="9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uiPriority w:val="99"/>
    <w:pPr>
      <w:spacing w:before="0" w:after="120"/>
    </w:pPr>
    <w:rPr/>
  </w:style>
  <w:style w:type="paragraph" w:styleId="List">
    <w:name w:val="List"/>
    <w:basedOn w:val="BodyText"/>
    <w:uiPriority w:val="99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hanging="0" w:left="72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Title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21"/>
    <w:uiPriority w:val="29"/>
    <w:qFormat/>
    <w:pPr>
      <w:ind w:hanging="0" w:left="720" w:right="72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hanging="0"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hanging="0" w:left="283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hanging="0" w:left="567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hanging="0" w:left="85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hanging="0" w:left="1134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hanging="0" w:left="1417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hanging="0" w:left="1701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hanging="0" w:left="1984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hanging="0" w:left="2268"/>
    </w:pPr>
    <w:rPr/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Caption1">
    <w:name w:val="caption1"/>
    <w:basedOn w:val="Normal"/>
    <w:uiPriority w:val="99"/>
    <w:qFormat/>
    <w:pPr>
      <w:spacing w:before="120" w:after="120"/>
    </w:pPr>
    <w:rPr>
      <w:i/>
      <w:iCs/>
    </w:rPr>
  </w:style>
  <w:style w:type="paragraph" w:styleId="23" w:customStyle="1">
    <w:name w:val="Указатель2"/>
    <w:basedOn w:val="Normal"/>
    <w:uiPriority w:val="99"/>
    <w:qFormat/>
    <w:pPr/>
    <w:rPr/>
  </w:style>
  <w:style w:type="paragraph" w:styleId="13" w:customStyle="1">
    <w:name w:val="Название объекта1"/>
    <w:basedOn w:val="Normal"/>
    <w:uiPriority w:val="99"/>
    <w:qFormat/>
    <w:pPr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pPr/>
    <w:rPr/>
  </w:style>
  <w:style w:type="paragraph" w:styleId="Style19" w:customStyle="1">
    <w:name w:val="Знак Знак Знак Знак Знак Знак Знак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Cell" w:customStyle="1">
    <w:name w:val="ConsPlusCel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zh-CN" w:bidi="ar-SA"/>
    </w:rPr>
  </w:style>
  <w:style w:type="paragraph" w:styleId="15" w:customStyle="1">
    <w:name w:val="Схема документа1"/>
    <w:basedOn w:val="Normal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0" w:customStyle="1">
    <w:name w:val="Знак"/>
    <w:basedOn w:val="15"/>
    <w:next w:val="15"/>
    <w:uiPriority w:val="99"/>
    <w:qFormat/>
    <w:pPr>
      <w:spacing w:before="280" w:after="280"/>
    </w:pPr>
    <w:rPr>
      <w:rFonts w:ascii="Arial" w:hAnsi="Arial" w:cs="Arial"/>
      <w:sz w:val="24"/>
      <w:szCs w:val="24"/>
      <w:lang w:val="en-US"/>
    </w:rPr>
  </w:style>
  <w:style w:type="paragraph" w:styleId="Style21" w:customStyle="1">
    <w:name w:val="Содержимое таблицы"/>
    <w:basedOn w:val="Normal"/>
    <w:uiPriority w:val="99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Footer">
    <w:name w:val="Footer"/>
    <w:basedOn w:val="Normal"/>
    <w:uiPriority w:val="99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3" w:customStyle="1">
    <w:name w:val="Заголовок таблицы"/>
    <w:basedOn w:val="Style21"/>
    <w:uiPriority w:val="99"/>
    <w:qFormat/>
    <w:pPr>
      <w:jc w:val="center"/>
    </w:pPr>
    <w:rPr>
      <w:b/>
      <w:bCs/>
    </w:rPr>
  </w:style>
  <w:style w:type="paragraph" w:styleId="Consplusnonformat" w:customStyle="1">
    <w:name w:val="consplusnonformat"/>
    <w:basedOn w:val="Normal"/>
    <w:uiPriority w:val="99"/>
    <w:qFormat/>
    <w:pPr>
      <w:spacing w:before="280" w:after="280"/>
    </w:pPr>
    <w:rPr/>
  </w:style>
  <w:style w:type="paragraph" w:styleId="Style24" w:customStyle="1">
    <w:name w:val="Стиль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ru-RU" w:bidi="ar-SA"/>
    </w:rPr>
  </w:style>
  <w:style w:type="paragraph" w:styleId="16" w:customStyle="1">
    <w:name w:val="Основной текст1"/>
    <w:basedOn w:val="Normal"/>
    <w:uiPriority w:val="99"/>
    <w:qFormat/>
    <w:pPr>
      <w:shd w:val="clear" w:color="auto" w:fill="FFFFFF"/>
      <w:spacing w:lineRule="exact" w:line="317"/>
      <w:jc w:val="center"/>
    </w:pPr>
    <w:rPr>
      <w:sz w:val="28"/>
      <w:szCs w:val="28"/>
    </w:rPr>
  </w:style>
  <w:style w:type="paragraph" w:styleId="ConsPlusNonformat1" w:customStyle="1">
    <w:name w:val="ConsPlusNonformat1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7" w:customStyle="1">
    <w:name w:val="Абзац списка1"/>
    <w:basedOn w:val="Normal"/>
    <w:qFormat/>
    <w:pPr>
      <w:spacing w:lineRule="auto" w:line="276" w:before="0" w:after="200"/>
      <w:ind w:hanging="0" w:left="720"/>
    </w:pPr>
    <w:rPr>
      <w:rFonts w:ascii="Calibri" w:hAnsi="Calibri"/>
      <w:sz w:val="22"/>
      <w:szCs w:val="22"/>
      <w:lang w:eastAsia="ru-RU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Cambria" w:cs="Cambria"/>
      <w:i/>
      <w:iCs/>
      <w:color w:themeColor="accent1" w:val="4F81BD"/>
      <w:spacing w:val="15"/>
    </w:rPr>
  </w:style>
  <w:style w:type="paragraph" w:styleId="24" w:customStyle="1">
    <w:name w:val="Абзац списка2"/>
    <w:basedOn w:val="Normal"/>
    <w:qFormat/>
    <w:pPr>
      <w:spacing w:lineRule="auto" w:line="276" w:before="0" w:after="200"/>
      <w:ind w:hanging="0" w:left="720"/>
    </w:pPr>
    <w:rPr>
      <w:rFonts w:ascii="Calibri" w:hAnsi="Calibri"/>
      <w:sz w:val="22"/>
      <w:szCs w:val="22"/>
      <w:lang w:eastAsia="ru-RU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CBCBCB" w:themeFill="text1" w:themeFillTint="34"/>
      </w:tcPr>
    </w:tblStylePr>
    <w:tblStylePr w:type="band1Horz">
      <w:rPr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sz w:val="22"/>
      </w:rPr>
      <w:tblPr/>
      <w:tcPr>
        <w:shd w:val="clear" w:color="auto" w:fill="000000" w:themeFill="text1"/>
      </w:tcPr>
    </w:tblStylePr>
    <w:tblStylePr w:type="lastCol">
      <w:rPr>
        <w:b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sz w:val="22"/>
      </w:rPr>
      <w:tblPr/>
      <w:tcPr>
        <w:shd w:val="clear" w:color="auto" w:fill="4F81BD" w:themeFill="accent1"/>
      </w:tcPr>
    </w:tblStylePr>
    <w:tblStylePr w:type="lastCol">
      <w:rPr>
        <w:b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sz w:val="22"/>
      </w:rPr>
      <w:tblPr/>
      <w:tcPr>
        <w:shd w:val="clear" w:color="auto" w:fill="C0504D" w:themeFill="accent2"/>
      </w:tcPr>
    </w:tblStylePr>
    <w:tblStylePr w:type="lastCol">
      <w:rPr>
        <w:b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sz w:val="22"/>
      </w:rPr>
      <w:tblPr/>
      <w:tcPr>
        <w:shd w:val="clear" w:color="auto" w:fill="9BBB59" w:themeFill="accent3"/>
      </w:tcPr>
    </w:tblStylePr>
    <w:tblStylePr w:type="lastCol">
      <w:rPr>
        <w:b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sz w:val="22"/>
      </w:rPr>
      <w:tblPr/>
      <w:tcPr>
        <w:shd w:val="clear" w:color="auto" w:fill="8064A2" w:themeFill="accent4"/>
      </w:tcPr>
    </w:tblStylePr>
    <w:tblStylePr w:type="lastCol">
      <w:rPr>
        <w:b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sz w:val="22"/>
      </w:rPr>
      <w:tblPr/>
      <w:tcPr>
        <w:shd w:val="clear" w:color="auto" w:fill="4BACC6" w:themeFill="accent5"/>
      </w:tcPr>
    </w:tblStylePr>
    <w:tblStylePr w:type="lastCol">
      <w:rPr>
        <w:b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sz w:val="22"/>
      </w:rPr>
      <w:tblPr/>
      <w:tcPr>
        <w:shd w:val="clear" w:color="auto" w:fill="F79646" w:themeFill="accent6"/>
      </w:tcPr>
    </w:tblStylePr>
    <w:tblStylePr w:type="lastCol">
      <w:rPr>
        <w:b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BFBFBF" w:themeFill="text1" w:themeFillTint="40"/>
      </w:tcPr>
    </w:tblStylePr>
    <w:tblStylePr w:type="band1Horz">
      <w:rPr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BFBFBF" w:themeFill="text1" w:themeFillTint="40"/>
      </w:tcPr>
    </w:tblStylePr>
    <w:tblStylePr w:type="band1Horz">
      <w:rPr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C0504D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9BBB59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8064A2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4BACC6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shd w:val="clear" w:color="auto" w:fill="F79646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7F7F7F" w:themeFill="text1" w:themeFillTint="80"/>
      </w:tcPr>
    </w:tblStylePr>
    <w:tblStylePr w:type="lastRow">
      <w:rPr>
        <w:sz w:val="22"/>
      </w:rPr>
      <w:tblPr/>
      <w:tcPr>
        <w:shd w:val="clear" w:color="auto" w:fill="7F7F7F" w:themeFill="text1" w:themeFillTint="80"/>
      </w:tcPr>
    </w:tblStylePr>
    <w:tblStylePr w:type="firstCol">
      <w:rPr>
        <w:sz w:val="22"/>
      </w:rPr>
      <w:tblPr/>
      <w:tcPr>
        <w:shd w:val="clear" w:color="auto" w:fill="7F7F7F" w:themeFill="text1" w:themeFillTint="80"/>
      </w:tcPr>
    </w:tblStylePr>
    <w:tblStylePr w:type="lastCol">
      <w:rPr>
        <w:sz w:val="22"/>
      </w:rPr>
      <w:tblPr/>
      <w:tcPr>
        <w:shd w:val="clear" w:color="auto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5D8AC2" w:themeFill="accent1" w:themeFillTint="ea"/>
      </w:tcPr>
    </w:tblStylePr>
    <w:tblStylePr w:type="lastRow">
      <w:rPr>
        <w:sz w:val="22"/>
      </w:rPr>
      <w:tblPr/>
      <w:tcPr>
        <w:shd w:val="clear" w:color="auto" w:fill="5D8AC2" w:themeFill="accent1" w:themeFillTint="ea"/>
      </w:tcPr>
    </w:tblStylePr>
    <w:tblStylePr w:type="firstCol">
      <w:rPr>
        <w:sz w:val="22"/>
      </w:rPr>
      <w:tblPr/>
      <w:tcPr>
        <w:shd w:val="clear" w:color="auto" w:fill="5D8AC2" w:themeFill="accent1" w:themeFillTint="ea"/>
      </w:tcPr>
    </w:tblStylePr>
    <w:tblStylePr w:type="lastCol">
      <w:rPr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D99695" w:themeFill="accent2" w:themeFillTint="97"/>
      </w:tcPr>
    </w:tblStylePr>
    <w:tblStylePr w:type="lastRow">
      <w:rPr>
        <w:sz w:val="22"/>
      </w:rPr>
      <w:tblPr/>
      <w:tcPr>
        <w:shd w:val="clear" w:color="auto" w:fill="D99695" w:themeFill="accent2" w:themeFillTint="97"/>
      </w:tcPr>
    </w:tblStylePr>
    <w:tblStylePr w:type="firstCol">
      <w:rPr>
        <w:sz w:val="22"/>
      </w:rPr>
      <w:tblPr/>
      <w:tcPr>
        <w:shd w:val="clear" w:color="auto" w:fill="D99695" w:themeFill="accent2" w:themeFillTint="97"/>
      </w:tcPr>
    </w:tblStylePr>
    <w:tblStylePr w:type="lastCol">
      <w:rPr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9ABB59" w:themeFill="accent3" w:themeFillTint="fe"/>
      </w:tcPr>
    </w:tblStylePr>
    <w:tblStylePr w:type="lastRow">
      <w:rPr>
        <w:sz w:val="22"/>
      </w:rPr>
      <w:tblPr/>
      <w:tcPr>
        <w:shd w:val="clear" w:color="auto" w:fill="9ABB59" w:themeFill="accent3" w:themeFillTint="fe"/>
      </w:tcPr>
    </w:tblStylePr>
    <w:tblStylePr w:type="firstCol">
      <w:rPr>
        <w:sz w:val="22"/>
      </w:rPr>
      <w:tblPr/>
      <w:tcPr>
        <w:shd w:val="clear" w:color="auto" w:fill="9ABB59" w:themeFill="accent3" w:themeFillTint="fe"/>
      </w:tcPr>
    </w:tblStylePr>
    <w:tblStylePr w:type="lastCol">
      <w:rPr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B2A1C6" w:themeFill="accent4" w:themeFillTint="9a"/>
      </w:tcPr>
    </w:tblStylePr>
    <w:tblStylePr w:type="lastRow">
      <w:rPr>
        <w:sz w:val="22"/>
      </w:rPr>
      <w:tblPr/>
      <w:tcPr>
        <w:shd w:val="clear" w:color="auto" w:fill="B2A1C6" w:themeFill="accent4" w:themeFillTint="9a"/>
      </w:tcPr>
    </w:tblStylePr>
    <w:tblStylePr w:type="firstCol">
      <w:rPr>
        <w:sz w:val="22"/>
      </w:rPr>
      <w:tblPr/>
      <w:tcPr>
        <w:shd w:val="clear" w:color="auto" w:fill="B2A1C6" w:themeFill="accent4" w:themeFillTint="9a"/>
      </w:tcPr>
    </w:tblStylePr>
    <w:tblStylePr w:type="lastCol">
      <w:rPr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4BACC6" w:themeFill="accent5"/>
      </w:tcPr>
    </w:tblStylePr>
    <w:tblStylePr w:type="lastRow">
      <w:rPr>
        <w:sz w:val="22"/>
      </w:rPr>
      <w:tblPr/>
      <w:tcPr>
        <w:shd w:val="clear" w:color="auto" w:fill="4BACC6" w:themeFill="accent5"/>
      </w:tcPr>
    </w:tblStylePr>
    <w:tblStylePr w:type="firstCol">
      <w:rPr>
        <w:sz w:val="22"/>
      </w:rPr>
      <w:tblPr/>
      <w:tcPr>
        <w:shd w:val="clear" w:color="auto" w:fill="4BACC6" w:themeFill="accent5"/>
      </w:tcPr>
    </w:tblStylePr>
    <w:tblStylePr w:type="lastCol">
      <w:rPr>
        <w:sz w:val="22"/>
      </w:rPr>
      <w:tblPr/>
      <w:tcPr>
        <w:shd w:val="clear" w:color="auto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F79646" w:themeFill="accent6"/>
      </w:tcPr>
    </w:tblStylePr>
    <w:tblStylePr w:type="lastRow">
      <w:rPr>
        <w:sz w:val="22"/>
      </w:rPr>
      <w:tblPr/>
      <w:tcPr>
        <w:shd w:val="clear" w:color="auto" w:fill="F79646" w:themeFill="accent6"/>
      </w:tcPr>
    </w:tblStylePr>
    <w:tblStylePr w:type="firstCol">
      <w:rPr>
        <w:sz w:val="22"/>
      </w:rPr>
      <w:tblPr/>
      <w:tcPr>
        <w:shd w:val="clear" w:color="auto" w:fill="F79646" w:themeFill="accent6"/>
      </w:tcPr>
    </w:tblStylePr>
    <w:tblStylePr w:type="lastCol">
      <w:rPr>
        <w:sz w:val="22"/>
      </w:rPr>
      <w:tblPr/>
      <w:tcPr>
        <w:shd w:val="clear" w:color="auto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7F7F7F" w:themeFill="text1" w:themeFillTint="80"/>
      </w:tcPr>
    </w:tblStylePr>
    <w:tblStylePr w:type="lastRow">
      <w:rPr>
        <w:sz w:val="22"/>
      </w:rPr>
      <w:tblPr/>
      <w:tcPr>
        <w:shd w:val="clear" w:color="auto" w:fill="7F7F7F" w:themeFill="text1" w:themeFillTint="80"/>
      </w:tcPr>
    </w:tblStylePr>
    <w:tblStylePr w:type="firstCol">
      <w:rPr>
        <w:sz w:val="22"/>
      </w:rPr>
      <w:tblPr/>
      <w:tcPr>
        <w:shd w:val="clear" w:color="auto" w:fill="7F7F7F" w:themeFill="text1" w:themeFillTint="80"/>
      </w:tcPr>
    </w:tblStylePr>
    <w:tblStylePr w:type="lastCol">
      <w:rPr>
        <w:sz w:val="22"/>
      </w:rPr>
      <w:tblPr/>
      <w:tcPr>
        <w:shd w:val="clear" w:color="auto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5D8AC2" w:themeFill="accent1" w:themeFillTint="ea"/>
      </w:tcPr>
    </w:tblStylePr>
    <w:tblStylePr w:type="lastRow">
      <w:rPr>
        <w:sz w:val="22"/>
      </w:rPr>
      <w:tblPr/>
      <w:tcPr>
        <w:shd w:val="clear" w:color="auto" w:fill="5D8AC2" w:themeFill="accent1" w:themeFillTint="ea"/>
      </w:tcPr>
    </w:tblStylePr>
    <w:tblStylePr w:type="firstCol">
      <w:rPr>
        <w:sz w:val="22"/>
      </w:rPr>
      <w:tblPr/>
      <w:tcPr>
        <w:shd w:val="clear" w:color="auto" w:fill="5D8AC2" w:themeFill="accent1" w:themeFillTint="ea"/>
      </w:tcPr>
    </w:tblStylePr>
    <w:tblStylePr w:type="lastCol">
      <w:rPr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D99695" w:themeFill="accent2" w:themeFillTint="97"/>
      </w:tcPr>
    </w:tblStylePr>
    <w:tblStylePr w:type="lastRow">
      <w:rPr>
        <w:sz w:val="22"/>
      </w:rPr>
      <w:tblPr/>
      <w:tcPr>
        <w:shd w:val="clear" w:color="auto" w:fill="D99695" w:themeFill="accent2" w:themeFillTint="97"/>
      </w:tcPr>
    </w:tblStylePr>
    <w:tblStylePr w:type="firstCol">
      <w:rPr>
        <w:sz w:val="22"/>
      </w:rPr>
      <w:tblPr/>
      <w:tcPr>
        <w:shd w:val="clear" w:color="auto" w:fill="D99695" w:themeFill="accent2" w:themeFillTint="97"/>
      </w:tcPr>
    </w:tblStylePr>
    <w:tblStylePr w:type="lastCol">
      <w:rPr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9ABB59" w:themeFill="accent3" w:themeFillTint="fe"/>
      </w:tcPr>
    </w:tblStylePr>
    <w:tblStylePr w:type="lastRow">
      <w:rPr>
        <w:sz w:val="22"/>
      </w:rPr>
      <w:tblPr/>
      <w:tcPr>
        <w:shd w:val="clear" w:color="auto" w:fill="9ABB59" w:themeFill="accent3" w:themeFillTint="fe"/>
      </w:tcPr>
    </w:tblStylePr>
    <w:tblStylePr w:type="firstCol">
      <w:rPr>
        <w:sz w:val="22"/>
      </w:rPr>
      <w:tblPr/>
      <w:tcPr>
        <w:shd w:val="clear" w:color="auto" w:fill="9ABB59" w:themeFill="accent3" w:themeFillTint="fe"/>
      </w:tcPr>
    </w:tblStylePr>
    <w:tblStylePr w:type="lastCol">
      <w:rPr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B2A1C6" w:themeFill="accent4" w:themeFillTint="9a"/>
      </w:tcPr>
    </w:tblStylePr>
    <w:tblStylePr w:type="lastRow">
      <w:rPr>
        <w:sz w:val="22"/>
      </w:rPr>
      <w:tblPr/>
      <w:tcPr>
        <w:shd w:val="clear" w:color="auto" w:fill="B2A1C6" w:themeFill="accent4" w:themeFillTint="9a"/>
      </w:tcPr>
    </w:tblStylePr>
    <w:tblStylePr w:type="firstCol">
      <w:rPr>
        <w:sz w:val="22"/>
      </w:rPr>
      <w:tblPr/>
      <w:tcPr>
        <w:shd w:val="clear" w:color="auto" w:fill="B2A1C6" w:themeFill="accent4" w:themeFillTint="9a"/>
      </w:tcPr>
    </w:tblStylePr>
    <w:tblStylePr w:type="lastCol">
      <w:rPr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4BACC6" w:themeFill="accent5"/>
      </w:tcPr>
    </w:tblStylePr>
    <w:tblStylePr w:type="lastRow">
      <w:rPr>
        <w:sz w:val="22"/>
      </w:rPr>
      <w:tblPr/>
      <w:tcPr>
        <w:shd w:val="clear" w:color="auto" w:fill="4BACC6" w:themeFill="accent5"/>
      </w:tcPr>
    </w:tblStylePr>
    <w:tblStylePr w:type="firstCol">
      <w:rPr>
        <w:sz w:val="22"/>
      </w:rPr>
      <w:tblPr/>
      <w:tcPr>
        <w:shd w:val="clear" w:color="auto" w:fill="4BACC6" w:themeFill="accent5"/>
      </w:tcPr>
    </w:tblStylePr>
    <w:tblStylePr w:type="lastCol">
      <w:rPr>
        <w:sz w:val="22"/>
      </w:rPr>
      <w:tblPr/>
      <w:tcPr>
        <w:shd w:val="clear" w:color="auto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shd w:val="clear" w:color="auto" w:fill="F79646" w:themeFill="accent6"/>
      </w:tcPr>
    </w:tblStylePr>
    <w:tblStylePr w:type="lastRow">
      <w:rPr>
        <w:sz w:val="22"/>
      </w:rPr>
      <w:tblPr/>
      <w:tcPr>
        <w:shd w:val="clear" w:color="auto" w:fill="F79646" w:themeFill="accent6"/>
      </w:tcPr>
    </w:tblStylePr>
    <w:tblStylePr w:type="firstCol">
      <w:rPr>
        <w:sz w:val="22"/>
      </w:rPr>
      <w:tblPr/>
      <w:tcPr>
        <w:shd w:val="clear" w:color="auto" w:fill="F79646" w:themeFill="accent6"/>
      </w:tcPr>
    </w:tblStylePr>
    <w:tblStylePr w:type="lastCol">
      <w:rPr>
        <w:sz w:val="22"/>
      </w:rPr>
      <w:tblPr/>
      <w:tcPr>
        <w:shd w:val="clear" w:color="auto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Arial" pitchFamily="0" charset="1"/>
        <a:cs typeface="Arial" pitchFamily="0" charset="1"/>
      </a:majorFont>
      <a:minorFont>
        <a:latin typeface="Calibri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Application>LibreOffice/7.6.2.1$Windows_X86_64 LibreOffice_project/56f7684011345957bbf33a7ee678afaf4d2ba333</Application>
  <AppVersion>15.0000</AppVersion>
  <Pages>5</Pages>
  <Words>920</Words>
  <Characters>6673</Characters>
  <CharactersWithSpaces>7344</CharactersWithSpaces>
  <Paragraphs>255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2019-02-14T13:41:00Z</dcterms:created>
  <dc:creator>Customer</dc:creator>
  <dc:description/>
  <dc:language>ru-RU</dc:language>
  <cp:lastModifiedBy/>
  <cp:lastPrinted>2023-05-31T13:47:59Z</cp:lastPrinted>
  <dcterms:modified xsi:type="dcterms:W3CDTF">2023-10-20T16:41:19Z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