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4860" w:leader="none"/>
        </w:tabs>
        <w:ind w:left="-567" w:hang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W w:w="999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02"/>
        <w:gridCol w:w="1332"/>
        <w:gridCol w:w="2574"/>
        <w:gridCol w:w="1401"/>
        <w:gridCol w:w="29"/>
        <w:gridCol w:w="1257"/>
      </w:tblGrid>
      <w:tr>
        <w:trPr>
          <w:trHeight w:val="1796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642" w:leader="none"/>
              </w:tabs>
              <w:ind w:right="-58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516255" cy="60261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«Город Новоульяновск»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  <w:tab w:val="left" w:pos="6480" w:leader="none"/>
              </w:tabs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Ульяновской области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b/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>
                <w:b/>
                <w:bCs/>
                <w:sz w:val="36"/>
                <w:szCs w:val="36"/>
              </w:rPr>
              <w:t>П О С Т А Н О В Л Е Н И Е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b/>
                <w:b/>
              </w:rPr>
            </w:pPr>
            <w:r>
              <w:rPr>
                <w:b/>
              </w:rPr>
              <w:t>ПРОЕКТ</w:t>
            </w:r>
          </w:p>
        </w:tc>
      </w:tr>
      <w:tr>
        <w:trPr>
          <w:trHeight w:val="283" w:hRule="atLeast"/>
        </w:trPr>
        <w:tc>
          <w:tcPr>
            <w:tcW w:w="9995" w:type="dxa"/>
            <w:gridSpan w:val="6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340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4" w:type="dxa"/>
            <w:vMerge w:val="restart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01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8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80" w:hRule="atLeast"/>
        </w:trPr>
        <w:tc>
          <w:tcPr>
            <w:tcW w:w="4734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574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14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 №</w:t>
            </w:r>
          </w:p>
        </w:tc>
        <w:tc>
          <w:tcPr>
            <w:tcW w:w="125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spacing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55" w:hRule="atLeast"/>
        </w:trPr>
        <w:tc>
          <w:tcPr>
            <w:tcW w:w="4734" w:type="dxa"/>
            <w:gridSpan w:val="2"/>
            <w:vMerge w:val="continue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  <w:tc>
          <w:tcPr>
            <w:tcW w:w="2574" w:type="dxa"/>
            <w:vMerge w:val="continue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jc w:val="center"/>
              <w:rPr/>
            </w:pPr>
            <w:r>
              <w:rPr/>
            </w:r>
          </w:p>
        </w:tc>
        <w:tc>
          <w:tcPr>
            <w:tcW w:w="2687" w:type="dxa"/>
            <w:gridSpan w:val="3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4860" w:leader="none"/>
              </w:tabs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tabs>
          <w:tab w:val="clear" w:pos="709"/>
          <w:tab w:val="left" w:pos="4860" w:leader="none"/>
        </w:tabs>
        <w:rPr/>
      </w:pPr>
      <w:r>
        <w:rPr/>
      </w:r>
    </w:p>
    <w:tbl>
      <w:tblPr>
        <w:tblW w:w="10188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188"/>
      </w:tblGrid>
      <w:tr>
        <w:trPr>
          <w:trHeight w:val="905" w:hRule="atLeast"/>
        </w:trPr>
        <w:tc>
          <w:tcPr>
            <w:tcW w:w="10188" w:type="dxa"/>
            <w:tcBorders/>
          </w:tcPr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left="459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</w:t>
              <w:br/>
              <w:t>Администрации муниципального образования</w:t>
              <w:br/>
              <w:t>«Город Новоульяновск» Ульяновской области</w:t>
              <w:br/>
              <w:t>от 12 ноября 2020 г. № 625-П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740" w:leader="none"/>
              </w:tabs>
              <w:ind w:left="459" w:right="-108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9"/>
          <w:tab w:val="left" w:pos="7740" w:leader="none"/>
        </w:tabs>
        <w:ind w:firstLine="709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Новоульяновск» Ульяновской области постановляет:</w:t>
      </w:r>
    </w:p>
    <w:p>
      <w:pPr>
        <w:pStyle w:val="Normal"/>
        <w:tabs>
          <w:tab w:val="clear" w:pos="709"/>
          <w:tab w:val="left" w:pos="0" w:leader="none"/>
        </w:tabs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«Координация мероприятий по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использованию информационно-коммуникационных технологий, созданию, развитию, модернизации, эксплуатации информационных систем и 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области», утвержденную постановлением Администрации муниципального образования «Город Новоульяновск» Ульяновской области от 12 ноября 2020 г. № 625-П «</w:t>
      </w:r>
      <w:r>
        <w:rPr>
          <w:bCs/>
          <w:sz w:val="28"/>
          <w:szCs w:val="28"/>
        </w:rPr>
        <w:t>Об утверждении муниципальной программы 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</w:t>
      </w:r>
      <w:r>
        <w:rPr>
          <w:sz w:val="28"/>
          <w:szCs w:val="28"/>
        </w:rPr>
        <w:t>», следующие изменения:</w:t>
      </w:r>
    </w:p>
    <w:p>
      <w:pPr>
        <w:pStyle w:val="Normal"/>
        <w:tabs>
          <w:tab w:val="clear" w:pos="709"/>
          <w:tab w:val="left" w:pos="0" w:leader="none"/>
        </w:tabs>
        <w:ind w:right="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sz w:val="28"/>
          <w:szCs w:val="28"/>
        </w:rPr>
        <w:t>строку «Целевые индикаторы муниципальной программы» Паспорта изложить в следующей редакции: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6"/>
        <w:gridCol w:w="5809"/>
      </w:tblGrid>
      <w:tr>
        <w:trPr>
          <w:trHeight w:val="371" w:hRule="atLeast"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муниципальной программы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оргтехники, средств связи и периферийного оборудования, установленные на рабочих местах, со сроком эксплуатации менее 5 лет;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работников, имеющих доступ к справочно-информационной базе;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используемых для работы в государственных информационных системах, муниципальных информационных системах и информационных системах персональных данных, имеющие необходимые средства защиты информации;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 сертифицированным антивирусным программным обеспечением;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доступности официального сайта Администрации в сети «Интернет»;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доступа в локальную сеть и сеть «Интернет»;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установленными отечественными операционными системами и офисными пакетами;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Количество приобретенных персональных компьютеров и многофункциональных устройств для МБУ "Централизованная Бухгалтерия" МО"Город Новоульяновск".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строку «Ожидаемый эффект от реализации муниципальной программы» Паспорта изложить в следующей редакции: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805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6"/>
        <w:gridCol w:w="5809"/>
      </w:tblGrid>
      <w:tr>
        <w:trPr>
          <w:trHeight w:val="370" w:hRule="atLeast"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эффект от реализации муниципальной программы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результате выполнения муниципальной программы будут выполнены все поставленные цели и достигнуты целевые индикаторы: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оргтехники, средств связи и периферийного оборудования, установленные на рабочих местах, со сроком эксплуатации менее 5 лет – 80%;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работников, имеющих доступ к справочно-информационной базе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компьютеров, используемых для работы в государственных информационных системах, муниципальных информационных системах и информационных системах персональных данных, имеющие необходимые средства защиты информации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 сертифицированным антивирусным программным обеспечением – 100%;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доступности официального сайта Администрации в сети «Интернет» - 365 дней в год;</w:t>
            </w:r>
          </w:p>
          <w:p>
            <w:pPr>
              <w:pStyle w:val="ConsPlusCell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Время доступа в локальную сеть и сеть «Интернет» - 365 дней в год;</w:t>
            </w:r>
          </w:p>
          <w:p>
            <w:pPr>
              <w:pStyle w:val="ConsPlusCel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 Доля персональных компьютеров с установленными отечественными операционными системами и офисными пакетами – 50%;</w:t>
            </w:r>
          </w:p>
          <w:p>
            <w:pPr>
              <w:pStyle w:val="ConsPlusCel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 Количество приобретенных персональных компьютеров и многофункциональных устройств для МБУ "Централизованная Бухгалтерия" МО"Город Новоульяновск"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 шт.</w:t>
            </w:r>
          </w:p>
        </w:tc>
      </w:tr>
    </w:tbl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строку «Сроки и этапы реализации муниципальной программы» Паспорта изложить в следующей редакции: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64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6"/>
        <w:gridCol w:w="5768"/>
      </w:tblGrid>
      <w:tr>
        <w:trPr>
          <w:trHeight w:val="937" w:hRule="atLeast"/>
        </w:trPr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Программа рассчитана на среднесрочный период 2021 - 202</w:t>
            </w:r>
            <w:r>
              <w:rPr>
                <w:rFonts w:ascii="PT Astra Serif" w:hAnsi="PT Astra Serif"/>
                <w:sz w:val="28"/>
                <w:szCs w:val="28"/>
              </w:rPr>
              <w:t>6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  <w:p>
            <w:pPr>
              <w:pStyle w:val="Normal"/>
              <w:widowControl w:val="false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Программа не предусматривает разбивку на этапы</w:t>
            </w:r>
          </w:p>
        </w:tc>
      </w:tr>
    </w:tbl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 строку «Ресурсное обеспечение муниципальной программы с разбивкой по этапам и годам реализации» Паспорта изложить в следующей редакции:</w:t>
      </w:r>
    </w:p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jc w:val="left"/>
        <w:tblInd w:w="8" w:type="dxa"/>
        <w:tblLayout w:type="fixed"/>
        <w:tblCellMar>
          <w:top w:w="0" w:type="dxa"/>
          <w:left w:w="7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995"/>
        <w:gridCol w:w="5785"/>
      </w:tblGrid>
      <w:tr>
        <w:trPr>
          <w:trHeight w:val="1066" w:hRule="atLeast"/>
        </w:trPr>
        <w:tc>
          <w:tcPr>
            <w:tcW w:w="3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ConsPlusCell"/>
              <w:widowControl w:val="false"/>
              <w:ind w:left="113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Общий объем финансирования за счет средств бюджета муниципального образования «Город Новоульяновск» Ульяновской области составляет 5295,0 тыс. руб., в том числе по годам: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2021 году - 400,00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в 2022 году - 406,135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 2023 году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,00 тыс. руб.;</w:t>
            </w:r>
          </w:p>
          <w:p>
            <w:pPr>
              <w:pStyle w:val="ConsPlusCell"/>
              <w:widowControl w:val="false"/>
              <w:ind w:left="113" w:firstLine="5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в 2024 году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725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,00 тыс. руб.;</w:t>
            </w:r>
          </w:p>
          <w:p>
            <w:pPr>
              <w:pStyle w:val="Normal"/>
              <w:widowControl w:val="false"/>
              <w:ind w:left="11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2025 году - ‭</w:t>
            </w:r>
            <w:r>
              <w:rPr>
                <w:sz w:val="28"/>
                <w:szCs w:val="28"/>
              </w:rPr>
              <w:t>725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‬ тыс. руб.;</w:t>
            </w:r>
          </w:p>
          <w:p>
            <w:pPr>
              <w:pStyle w:val="Normal"/>
              <w:widowControl w:val="false"/>
              <w:ind w:left="113" w:firstLine="5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202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году - ‭2 313,865‬ тыс. руб.</w:t>
            </w:r>
          </w:p>
        </w:tc>
      </w:tr>
    </w:tbl>
    <w:p>
      <w:pPr>
        <w:pStyle w:val="26"/>
        <w:tabs>
          <w:tab w:val="clear" w:pos="709"/>
          <w:tab w:val="left" w:pos="1260" w:leader="none"/>
        </w:tabs>
        <w:spacing w:lineRule="auto" w:line="240" w:before="0"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>
      <w:pPr>
        <w:pStyle w:val="Normal"/>
        <w:tabs>
          <w:tab w:val="clear" w:pos="709"/>
          <w:tab w:val="left" w:pos="7740" w:leader="none"/>
        </w:tabs>
        <w:ind w:right="-98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) приложение 1 к Программе изложить в следующей редакции:</w:t>
      </w:r>
    </w:p>
    <w:p>
      <w:pPr>
        <w:pStyle w:val="Normal"/>
        <w:tabs>
          <w:tab w:val="clear" w:pos="709"/>
          <w:tab w:val="left" w:pos="7740" w:leader="none"/>
        </w:tabs>
        <w:ind w:right="-98" w:firstLine="709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«Приложение 1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Программе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ПЕРЕЧЕНЬ ЦЕЛЕВЫХ ИНДИКАТОРОВ</w:t>
        <w:br/>
      </w:r>
      <w:r>
        <w:rPr>
          <w:b/>
          <w:sz w:val="28"/>
          <w:szCs w:val="28"/>
        </w:rPr>
        <w:t xml:space="preserve">муниципальной программы </w:t>
      </w:r>
      <w:r>
        <w:rPr>
          <w:rFonts w:eastAsia="Calibri" w:eastAsiaTheme="minorHAnsi"/>
          <w:b/>
          <w:sz w:val="28"/>
          <w:szCs w:val="28"/>
          <w:lang w:eastAsia="en-US"/>
        </w:rPr>
        <w:t xml:space="preserve">муниципального образования </w:t>
        <w:br/>
        <w:t xml:space="preserve">«Город Новоульяновск» Ульяновской области </w:t>
        <w:br/>
      </w:r>
      <w:r>
        <w:rPr>
          <w:b/>
          <w:sz w:val="28"/>
          <w:szCs w:val="28"/>
        </w:rPr>
        <w:t>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</w:r>
    </w:p>
    <w:p>
      <w:pPr>
        <w:pStyle w:val="Normal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Style w:val="a9"/>
        <w:tblW w:w="9824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98"/>
        <w:gridCol w:w="3844"/>
        <w:gridCol w:w="1494"/>
        <w:gridCol w:w="698"/>
        <w:gridCol w:w="698"/>
        <w:gridCol w:w="698"/>
        <w:gridCol w:w="698"/>
        <w:gridCol w:w="698"/>
        <w:gridCol w:w="698"/>
      </w:tblGrid>
      <w:tr>
        <w:trPr/>
        <w:tc>
          <w:tcPr>
            <w:tcW w:w="298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384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 w:eastAsiaTheme="minorHAnsi"/>
                <w:sz w:val="18"/>
                <w:szCs w:val="18"/>
                <w:lang w:eastAsia="en-US"/>
              </w:rPr>
              <w:t>Наименование целевого индикатора,</w:t>
              <w:br/>
              <w:t>единица измерения</w:t>
            </w:r>
          </w:p>
        </w:tc>
        <w:tc>
          <w:tcPr>
            <w:tcW w:w="149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Базовое значение целевого индикатора</w:t>
            </w:r>
          </w:p>
        </w:tc>
        <w:tc>
          <w:tcPr>
            <w:tcW w:w="4188" w:type="dxa"/>
            <w:gridSpan w:val="6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Значения целевого индикатора</w:t>
            </w:r>
          </w:p>
        </w:tc>
      </w:tr>
      <w:tr>
        <w:trPr/>
        <w:tc>
          <w:tcPr>
            <w:tcW w:w="298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844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9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2021</w:t>
              <w:br/>
              <w:t>год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2022</w:t>
              <w:br/>
              <w:t>год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2023</w:t>
              <w:br/>
              <w:t>год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2024</w:t>
              <w:br/>
              <w:t>год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2025</w:t>
              <w:br/>
              <w:t>год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  <w:br/>
              <w:t>год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>
        <w:trPr/>
        <w:tc>
          <w:tcPr>
            <w:tcW w:w="2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3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компьютеров, оргтехники, средств связи и периферийного оборудования, установленные на рабочих местах, со сроком эксплуатации менее 5 лет, %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34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45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9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Время доступа в локальную сеть и сеть «Интернет», дней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компьютеров, используемых для работы в государственных информационных системах, муниципальных информационных системах и информационных системах персональных данных, имеющие необходимые средства защиты информации, %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50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5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Время доступности официального сайта Администрации в сети «Интернет», дней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365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 с установленными отечественными операционными системами и офисными пакетами, %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работников, имеющих доступ к справочно-информационной базе, %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384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Доля персональных компьютеров с установленным сертифицированным антивирусным программным обеспечением, %</w:t>
            </w:r>
          </w:p>
        </w:tc>
        <w:tc>
          <w:tcPr>
            <w:tcW w:w="149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100</w:t>
            </w:r>
          </w:p>
        </w:tc>
        <w:tc>
          <w:tcPr>
            <w:tcW w:w="69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>
        <w:trPr/>
        <w:tc>
          <w:tcPr>
            <w:tcW w:w="29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84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приобретенных персональных компьютеров </w:t>
            </w:r>
            <w:r>
              <w:rPr>
                <w:sz w:val="18"/>
                <w:szCs w:val="18"/>
                <w:lang w:val="ru-RU"/>
              </w:rPr>
              <w:t>и многофункциональных устройств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для МБУ "Централизованная Бухгалтерия" МО"Город Новоульяновск", </w:t>
            </w: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94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pStyle w:val="Normal"/>
        <w:spacing w:before="0" w:after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>
      <w:pPr>
        <w:pStyle w:val="Normal"/>
        <w:tabs>
          <w:tab w:val="clear" w:pos="709"/>
          <w:tab w:val="left" w:pos="7740" w:leader="none"/>
        </w:tabs>
        <w:ind w:right="-98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) приложение 2 к Программе изложить в следующей редакции: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«Приложение 2</w:t>
      </w:r>
    </w:p>
    <w:p>
      <w:pPr>
        <w:pStyle w:val="Normal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Программе</w:t>
      </w:r>
    </w:p>
    <w:p>
      <w:pPr>
        <w:pStyle w:val="Normal"/>
        <w:suppressAutoHyphens w:val="false"/>
        <w:jc w:val="center"/>
        <w:rPr/>
      </w:pPr>
      <w:r>
        <w:rPr>
          <w:rFonts w:eastAsia="Calibri" w:eastAsiaTheme="minorHAnsi"/>
          <w:b/>
          <w:bCs/>
          <w:sz w:val="28"/>
          <w:szCs w:val="28"/>
          <w:lang w:eastAsia="en-US"/>
        </w:rPr>
        <w:t>СИСТЕМА МЕРОПРИЯТИЙ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  <w:lang w:eastAsia="en-US"/>
        </w:rPr>
        <w:t>муниципальной программы муниципального образования</w:t>
        <w:br/>
        <w:t>«Город Новоульяновск» Ульяновской области</w:t>
      </w:r>
      <w:r>
        <w:rPr>
          <w:b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>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области»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</w:r>
    </w:p>
    <w:tbl>
      <w:tblPr>
        <w:tblStyle w:val="a9"/>
        <w:tblW w:w="9831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4"/>
        <w:gridCol w:w="2229"/>
        <w:gridCol w:w="1282"/>
        <w:gridCol w:w="1073"/>
        <w:gridCol w:w="805"/>
        <w:gridCol w:w="611"/>
        <w:gridCol w:w="708"/>
        <w:gridCol w:w="708"/>
        <w:gridCol w:w="708"/>
        <w:gridCol w:w="659"/>
        <w:gridCol w:w="764"/>
      </w:tblGrid>
      <w:tr>
        <w:trPr>
          <w:trHeight w:val="627" w:hRule="atLeast"/>
          <w:cantSplit w:val="true"/>
        </w:trPr>
        <w:tc>
          <w:tcPr>
            <w:tcW w:w="28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п/п</w:t>
            </w:r>
          </w:p>
        </w:tc>
        <w:tc>
          <w:tcPr>
            <w:tcW w:w="222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Наименование основного мероприятия (мероприятия)</w:t>
            </w:r>
          </w:p>
        </w:tc>
        <w:tc>
          <w:tcPr>
            <w:tcW w:w="1282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Ответственные исполнители мероприятия</w:t>
            </w:r>
          </w:p>
        </w:tc>
        <w:tc>
          <w:tcPr>
            <w:tcW w:w="10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Источник финансового обеспечения</w:t>
            </w:r>
          </w:p>
        </w:tc>
        <w:tc>
          <w:tcPr>
            <w:tcW w:w="4963" w:type="dxa"/>
            <w:gridSpan w:val="7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113" w:right="113" w:hanging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Объем финансового обеспечения реализации мероприятий, тыс. руб.</w:t>
            </w:r>
          </w:p>
        </w:tc>
      </w:tr>
      <w:tr>
        <w:trPr>
          <w:trHeight w:val="515" w:hRule="atLeast"/>
          <w:cantSplit w:val="true"/>
        </w:trPr>
        <w:tc>
          <w:tcPr>
            <w:tcW w:w="28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229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82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</w:t>
            </w:r>
          </w:p>
        </w:tc>
        <w:tc>
          <w:tcPr>
            <w:tcW w:w="61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2024</w:t>
              <w:br/>
              <w:t>год</w:t>
            </w:r>
          </w:p>
        </w:tc>
        <w:tc>
          <w:tcPr>
            <w:tcW w:w="659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2025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76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  <w:br/>
              <w:t>год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персональных компьютеров, оргтехники, средств связи и периферийного оборудования. Приобретение инструмента, комплектующих и материалов, необходимых для ремонта персональных компьютеров, оргтехники и периферийного оборудования</w:t>
            </w:r>
          </w:p>
        </w:tc>
        <w:tc>
          <w:tcPr>
            <w:tcW w:w="1282" w:type="dxa"/>
            <w:tcBorders/>
          </w:tcPr>
          <w:p>
            <w:pPr>
              <w:pStyle w:val="ConsPlusCell"/>
              <w:widowControl w:val="false"/>
              <w:suppressAutoHyphens w:val="true"/>
              <w:spacing w:before="0" w:after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 Администрации муниципального образования «Город Новоульяновск» Ульяновской области (далее – Отдел общественных коммуникаций)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/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2 427,021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214,854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191,383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311,919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365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‭‬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335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1 008,865</w:t>
            </w:r>
          </w:p>
        </w:tc>
      </w:tr>
      <w:tr>
        <w:trPr>
          <w:trHeight w:val="265" w:hRule="atLeast"/>
          <w:cantSplit w:val="true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коммутаторов, маршрутизаторов и кабеля связи. Приобретение инструмента и расходного материала, необходимого для монтажа и подключения к сети кабеля связи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97,259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4,380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2,879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3.</w:t>
            </w:r>
          </w:p>
        </w:tc>
        <w:tc>
          <w:tcPr>
            <w:tcW w:w="222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Приобретение программно-аппаратных средств защиты информации и средств криптографической защиты информации, обеспечивающих безопасность информации и персональных данных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473,615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23,615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4.</w:t>
            </w:r>
          </w:p>
        </w:tc>
        <w:tc>
          <w:tcPr>
            <w:tcW w:w="2229" w:type="dxa"/>
            <w:tcBorders/>
          </w:tcPr>
          <w:p>
            <w:pPr>
              <w:pStyle w:val="ConsPlus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Продление аренды хостинга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и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доменного имени 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kern w:val="0"/>
                <w:sz w:val="18"/>
                <w:szCs w:val="18"/>
                <w:lang w:val="ru-RU" w:eastAsia="ru-RU" w:bidi="ar-SA"/>
              </w:rPr>
              <w:t xml:space="preserve"> официального сайта Администрации муниципального образования «Город Новоульяновск» Ульяновской области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149,764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16,482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16,282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>
        <w:trPr>
          <w:trHeight w:val="1399" w:hRule="atLeast"/>
        </w:trPr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и установка на персональные компьютеры работников отечественных операционных систем и офисных пакетов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760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6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программного обеспечения «справочно- информационная база»,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1 096,533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145,284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152,976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168,273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90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210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>
        <w:trPr/>
        <w:tc>
          <w:tcPr>
            <w:tcW w:w="28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.</w:t>
            </w:r>
          </w:p>
        </w:tc>
        <w:tc>
          <w:tcPr>
            <w:tcW w:w="22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Приобретение (продление) сертифицированного антивирусного лицензионного программного обеспечения, включенного в реестр российского программного обеспечения</w:t>
            </w:r>
          </w:p>
        </w:tc>
        <w:tc>
          <w:tcPr>
            <w:tcW w:w="128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Отдел общественных коммуникаций</w:t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150,808</w:t>
            </w:r>
          </w:p>
        </w:tc>
        <w:tc>
          <w:tcPr>
            <w:tcW w:w="61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9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22,808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25</w:t>
            </w:r>
          </w:p>
        </w:tc>
        <w:tc>
          <w:tcPr>
            <w:tcW w:w="659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30</w:t>
            </w:r>
          </w:p>
        </w:tc>
        <w:tc>
          <w:tcPr>
            <w:tcW w:w="76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22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персональных компьютеров и 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ногофункциональных устройств </w:t>
            </w:r>
            <w:r>
              <w:rPr>
                <w:sz w:val="18"/>
                <w:szCs w:val="18"/>
              </w:rPr>
              <w:t>для МБУ "Централизованная Бухгалтерия" МО"Город Новоульяновск"</w:t>
            </w:r>
          </w:p>
        </w:tc>
        <w:tc>
          <w:tcPr>
            <w:tcW w:w="1282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"Централизован-ная Бухгалтерия" МО"Город Новоульяновск"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/>
        <w:tc>
          <w:tcPr>
            <w:tcW w:w="28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11" w:type="dxa"/>
            <w:gridSpan w:val="2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113" w:right="57" w:hanging="0"/>
              <w:jc w:val="righ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Всего по муниципальной программе:</w:t>
            </w:r>
          </w:p>
        </w:tc>
        <w:tc>
          <w:tcPr>
            <w:tcW w:w="1073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ru-RU" w:bidi="ar-SA"/>
              </w:rPr>
              <w:t>Местный бюджет</w:t>
            </w:r>
          </w:p>
        </w:tc>
        <w:tc>
          <w:tcPr>
            <w:tcW w:w="80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5295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bidi="ar-SA"/>
              </w:rPr>
              <w:t>400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406,135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</w:t>
            </w:r>
          </w:p>
        </w:tc>
        <w:tc>
          <w:tcPr>
            <w:tcW w:w="708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</w:t>
            </w:r>
          </w:p>
        </w:tc>
        <w:tc>
          <w:tcPr>
            <w:tcW w:w="659" w:type="dxa"/>
            <w:tcBorders>
              <w:top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‭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725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‬</w:t>
            </w:r>
          </w:p>
        </w:tc>
        <w:tc>
          <w:tcPr>
            <w:tcW w:w="764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2 313,865</w:t>
            </w:r>
          </w:p>
        </w:tc>
      </w:tr>
    </w:tbl>
    <w:p>
      <w:pPr>
        <w:pStyle w:val="Normal"/>
        <w:jc w:val="right"/>
        <w:rPr>
          <w:rFonts w:cs="Calibri"/>
          <w:sz w:val="28"/>
          <w:szCs w:val="28"/>
        </w:rPr>
      </w:pPr>
      <w:r>
        <w:rPr/>
        <w:t>».</w:t>
      </w:r>
    </w:p>
    <w:p>
      <w:pPr>
        <w:pStyle w:val="Normal"/>
        <w:widowControl/>
        <w:suppressAutoHyphens w:val="true"/>
        <w:bidi w:val="0"/>
        <w:spacing w:before="0" w:after="0"/>
        <w:ind w:left="0" w:right="0" w:firstLine="73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48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right" w:pos="9832" w:leader="none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  <w:tab/>
      </w:r>
      <w:r>
        <w:rPr>
          <w:b/>
          <w:color w:val="000000"/>
          <w:sz w:val="28"/>
          <w:szCs w:val="28"/>
        </w:rPr>
        <w:t>С.А. Косаринова</w:t>
      </w:r>
    </w:p>
    <w:sectPr>
      <w:headerReference w:type="default" r:id="rId3"/>
      <w:headerReference w:type="first" r:id="rId4"/>
      <w:type w:val="nextPage"/>
      <w:pgSz w:w="11906" w:h="16838"/>
      <w:pgMar w:left="1440" w:right="641" w:gutter="0" w:header="720" w:top="992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Courier New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761622273"/>
    </w:sdtPr>
    <w:sdtContent>
      <w:p>
        <w:pPr>
          <w:pStyle w:val="Style32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3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jc w:val="center"/>
      <w:rPr/>
    </w:pPr>
    <w:r>
      <w:rPr/>
    </w:r>
  </w:p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uiPriority w:val="99"/>
    <w:qFormat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  <w:lang w:eastAsia="ru-RU"/>
    </w:rPr>
  </w:style>
  <w:style w:type="paragraph" w:styleId="2">
    <w:name w:val="Heading 2"/>
    <w:basedOn w:val="Normal"/>
    <w:next w:val="Normal"/>
    <w:unhideWhenUsed/>
    <w:qFormat/>
    <w:pPr>
      <w:keepNext w:val="true"/>
      <w:keepLines/>
      <w:spacing w:before="200" w:after="0"/>
      <w:outlineLvl w:val="1"/>
    </w:pPr>
    <w:rPr>
      <w:rFonts w:ascii="Cambria" w:hAnsi="Cambria" w:eastAsia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unhideWhenUsed/>
    <w:qFormat/>
    <w:pPr>
      <w:keepNext w:val="true"/>
      <w:keepLines/>
      <w:spacing w:before="200" w:after="0"/>
      <w:outlineLvl w:val="2"/>
    </w:pPr>
    <w:rPr>
      <w:rFonts w:ascii="Cambria" w:hAnsi="Cambria" w:eastAsia="Cambria" w:cs="Cambria"/>
      <w:b/>
      <w:bCs/>
      <w:color w:val="4F81BD" w:themeColor="accent1"/>
    </w:rPr>
  </w:style>
  <w:style w:type="paragraph" w:styleId="4">
    <w:name w:val="Heading 4"/>
    <w:basedOn w:val="Normal"/>
    <w:next w:val="Normal"/>
    <w:unhideWhenUsed/>
    <w:qFormat/>
    <w:pPr>
      <w:keepNext w:val="true"/>
      <w:keepLines/>
      <w:spacing w:before="200" w:after="0"/>
      <w:outlineLvl w:val="3"/>
    </w:pPr>
    <w:rPr>
      <w:rFonts w:ascii="Cambria" w:hAnsi="Cambria" w:eastAsia="Cambria" w:cs="Cambria"/>
      <w:b/>
      <w:bCs/>
      <w:i/>
      <w:iCs/>
      <w:color w:val="4F81BD" w:themeColor="accent1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21" w:customStyle="1">
    <w:name w:val="Цитата 2 Знак"/>
    <w:uiPriority w:val="29"/>
    <w:qFormat/>
    <w:rPr>
      <w:i/>
    </w:rPr>
  </w:style>
  <w:style w:type="character" w:styleId="Style6" w:customStyle="1">
    <w:name w:val="Выделенная цитата Знак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Style7" w:customStyle="1">
    <w:name w:val="Текст сноски Знак"/>
    <w:uiPriority w:val="99"/>
    <w:qFormat/>
    <w:rPr>
      <w:sz w:val="18"/>
    </w:rPr>
  </w:style>
  <w:style w:type="character" w:styleId="Style8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AbsatzStandardschriftart" w:customStyle="1">
    <w:name w:val="Absatz-Standardschriftart"/>
    <w:uiPriority w:val="99"/>
    <w:qFormat/>
    <w:rPr/>
  </w:style>
  <w:style w:type="character" w:styleId="WWAbsatzStandardschriftart" w:customStyle="1">
    <w:name w:val="WW-Absatz-Standardschriftart"/>
    <w:uiPriority w:val="99"/>
    <w:qFormat/>
    <w:rPr/>
  </w:style>
  <w:style w:type="character" w:styleId="22" w:customStyle="1">
    <w:name w:val="Основной шрифт абзаца2"/>
    <w:uiPriority w:val="99"/>
    <w:qFormat/>
    <w:rPr/>
  </w:style>
  <w:style w:type="character" w:styleId="WWAbsatzStandardschriftart1" w:customStyle="1">
    <w:name w:val="WW-Absatz-Standardschriftart1"/>
    <w:uiPriority w:val="99"/>
    <w:qFormat/>
    <w:rPr/>
  </w:style>
  <w:style w:type="character" w:styleId="WWAbsatzStandardschriftart11" w:customStyle="1">
    <w:name w:val="WW-Absatz-Standardschriftart11"/>
    <w:uiPriority w:val="99"/>
    <w:qFormat/>
    <w:rPr/>
  </w:style>
  <w:style w:type="character" w:styleId="WWAbsatzStandardschriftart111" w:customStyle="1">
    <w:name w:val="WW-Absatz-Standardschriftart111"/>
    <w:uiPriority w:val="99"/>
    <w:qFormat/>
    <w:rPr/>
  </w:style>
  <w:style w:type="character" w:styleId="WWAbsatzStandardschriftart1111" w:customStyle="1">
    <w:name w:val="WW-Absatz-Standardschriftart1111"/>
    <w:uiPriority w:val="99"/>
    <w:qFormat/>
    <w:rPr/>
  </w:style>
  <w:style w:type="character" w:styleId="WWAbsatzStandardschriftart11111" w:customStyle="1">
    <w:name w:val="WW-Absatz-Standardschriftart11111"/>
    <w:uiPriority w:val="99"/>
    <w:qFormat/>
    <w:rPr/>
  </w:style>
  <w:style w:type="character" w:styleId="WWAbsatzStandardschriftart111111" w:customStyle="1">
    <w:name w:val="WW-Absatz-Standardschriftart111111"/>
    <w:uiPriority w:val="99"/>
    <w:qFormat/>
    <w:rPr/>
  </w:style>
  <w:style w:type="character" w:styleId="WW8Num2z0" w:customStyle="1">
    <w:name w:val="WW8Num2z0"/>
    <w:uiPriority w:val="99"/>
    <w:qFormat/>
    <w:rPr>
      <w:b/>
      <w:bCs/>
      <w:sz w:val="24"/>
      <w:szCs w:val="24"/>
    </w:rPr>
  </w:style>
  <w:style w:type="character" w:styleId="WW8Num6z0" w:customStyle="1">
    <w:name w:val="WW8Num6z0"/>
    <w:uiPriority w:val="99"/>
    <w:qFormat/>
    <w:rPr>
      <w:b/>
      <w:bCs/>
      <w:sz w:val="24"/>
      <w:szCs w:val="24"/>
    </w:rPr>
  </w:style>
  <w:style w:type="character" w:styleId="11" w:customStyle="1">
    <w:name w:val="Основной шрифт абзаца1"/>
    <w:uiPriority w:val="99"/>
    <w:qFormat/>
    <w:rPr/>
  </w:style>
  <w:style w:type="character" w:styleId="Strong">
    <w:name w:val="Strong"/>
    <w:basedOn w:val="11"/>
    <w:uiPriority w:val="99"/>
    <w:qFormat/>
    <w:rPr>
      <w:b/>
      <w:bCs/>
    </w:rPr>
  </w:style>
  <w:style w:type="character" w:styleId="12" w:customStyle="1">
    <w:name w:val="Знак Знак1"/>
    <w:basedOn w:val="11"/>
    <w:uiPriority w:val="99"/>
    <w:qFormat/>
    <w:rPr>
      <w:lang w:val="ru-RU"/>
    </w:rPr>
  </w:style>
  <w:style w:type="character" w:styleId="Style9" w:customStyle="1">
    <w:name w:val="Знак Знак"/>
    <w:basedOn w:val="11"/>
    <w:uiPriority w:val="99"/>
    <w:qFormat/>
    <w:rPr>
      <w:lang w:val="ru-RU"/>
    </w:rPr>
  </w:style>
  <w:style w:type="character" w:styleId="Style10" w:customStyle="1">
    <w:name w:val="Символ нумерации"/>
    <w:uiPriority w:val="99"/>
    <w:qFormat/>
    <w:rPr/>
  </w:style>
  <w:style w:type="character" w:styleId="Style11" w:customStyle="1">
    <w:name w:val="Основной текст Знак"/>
    <w:basedOn w:val="DefaultParagraphFont"/>
    <w:uiPriority w:val="99"/>
    <w:semiHidden/>
    <w:qFormat/>
    <w:rPr>
      <w:sz w:val="24"/>
      <w:szCs w:val="24"/>
      <w:lang w:eastAsia="zh-CN"/>
    </w:rPr>
  </w:style>
  <w:style w:type="character" w:styleId="Style12" w:customStyle="1">
    <w:name w:val="Верх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3" w:customStyle="1">
    <w:name w:val="Нижний колонтитул Знак"/>
    <w:basedOn w:val="DefaultParagraphFont"/>
    <w:uiPriority w:val="99"/>
    <w:qFormat/>
    <w:rPr>
      <w:sz w:val="24"/>
      <w:szCs w:val="24"/>
      <w:lang w:eastAsia="zh-CN"/>
    </w:rPr>
  </w:style>
  <w:style w:type="character" w:styleId="Style14" w:customStyle="1">
    <w:name w:val="Основной текст_"/>
    <w:link w:val="17"/>
    <w:uiPriority w:val="99"/>
    <w:qFormat/>
    <w:rPr>
      <w:sz w:val="28"/>
      <w:szCs w:val="28"/>
      <w:shd w:fill="FFFFFF" w:val="clear"/>
    </w:rPr>
  </w:style>
  <w:style w:type="character" w:styleId="Style15" w:customStyle="1">
    <w:name w:val="Текст выноски Знак"/>
    <w:basedOn w:val="DefaultParagraphFont"/>
    <w:uiPriority w:val="99"/>
    <w:qFormat/>
    <w:rPr>
      <w:rFonts w:ascii="Tahoma" w:hAnsi="Tahoma" w:cs="Tahoma"/>
      <w:sz w:val="16"/>
      <w:szCs w:val="16"/>
      <w:lang w:eastAsia="zh-CN"/>
    </w:rPr>
  </w:style>
  <w:style w:type="character" w:styleId="Pagenumber">
    <w:name w:val="page number"/>
    <w:basedOn w:val="DefaultParagraphFont"/>
    <w:uiPriority w:val="99"/>
    <w:qFormat/>
    <w:rPr/>
  </w:style>
  <w:style w:type="character" w:styleId="Style16">
    <w:name w:val="Hyperlink"/>
    <w:basedOn w:val="DefaultParagraphFont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13" w:customStyle="1">
    <w:name w:val="Заголовок 1 Знак"/>
    <w:basedOn w:val="DefaultParagraphFont"/>
    <w:uiPriority w:val="99"/>
    <w:qFormat/>
    <w:rPr>
      <w:rFonts w:ascii="Cambria" w:hAnsi="Cambria" w:cs="Cambria"/>
      <w:b/>
      <w:bCs/>
      <w:sz w:val="32"/>
      <w:szCs w:val="32"/>
    </w:rPr>
  </w:style>
  <w:style w:type="character" w:styleId="Style17" w:customStyle="1">
    <w:name w:val="Подзаголовок Знак"/>
    <w:basedOn w:val="DefaultParagraphFont"/>
    <w:qFormat/>
    <w:rPr>
      <w:rFonts w:ascii="Cambria" w:hAnsi="Cambria" w:eastAsia="Cambria" w:cs="Cambria"/>
      <w:i/>
      <w:iCs/>
      <w:color w:val="4F81BD" w:themeColor="accent1"/>
      <w:spacing w:val="15"/>
      <w:sz w:val="24"/>
      <w:szCs w:val="24"/>
      <w:lang w:eastAsia="zh-CN"/>
    </w:rPr>
  </w:style>
  <w:style w:type="character" w:styleId="Style18">
    <w:name w:val="Emphasis"/>
    <w:basedOn w:val="DefaultParagraphFont"/>
    <w:qFormat/>
    <w:rPr>
      <w:i/>
      <w:iCs/>
    </w:rPr>
  </w:style>
  <w:style w:type="character" w:styleId="23" w:customStyle="1">
    <w:name w:val="Заголовок 2 Знак"/>
    <w:basedOn w:val="DefaultParagraphFont"/>
    <w:qFormat/>
    <w:rPr>
      <w:rFonts w:ascii="Cambria" w:hAnsi="Cambria" w:eastAsia="Cambria" w:cs="Cambria"/>
      <w:b/>
      <w:bCs/>
      <w:color w:val="4F81BD" w:themeColor="accent1"/>
      <w:sz w:val="26"/>
      <w:szCs w:val="26"/>
      <w:lang w:eastAsia="zh-CN"/>
    </w:rPr>
  </w:style>
  <w:style w:type="character" w:styleId="31" w:customStyle="1">
    <w:name w:val="Заголовок 3 Знак"/>
    <w:basedOn w:val="DefaultParagraphFont"/>
    <w:qFormat/>
    <w:rPr>
      <w:rFonts w:ascii="Cambria" w:hAnsi="Cambria" w:eastAsia="Cambria" w:cs="Cambria"/>
      <w:b/>
      <w:bCs/>
      <w:color w:val="4F81BD" w:themeColor="accent1"/>
      <w:sz w:val="24"/>
      <w:szCs w:val="24"/>
      <w:lang w:eastAsia="zh-CN"/>
    </w:rPr>
  </w:style>
  <w:style w:type="character" w:styleId="41" w:customStyle="1">
    <w:name w:val="Заголовок 4 Знак"/>
    <w:basedOn w:val="DefaultParagraphFont"/>
    <w:qFormat/>
    <w:rPr>
      <w:rFonts w:ascii="Cambria" w:hAnsi="Cambria" w:eastAsia="Cambria" w:cs="Cambria"/>
      <w:b/>
      <w:bCs/>
      <w:i/>
      <w:iCs/>
      <w:color w:val="4F81BD" w:themeColor="accent1"/>
      <w:sz w:val="24"/>
      <w:szCs w:val="24"/>
      <w:lang w:eastAsia="zh-CN"/>
    </w:rPr>
  </w:style>
  <w:style w:type="paragraph" w:styleId="Style19" w:customStyle="1">
    <w:name w:val="Заголовок"/>
    <w:basedOn w:val="Normal"/>
    <w:next w:val="Style20"/>
    <w:uiPriority w:val="9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0">
    <w:name w:val="Body Text"/>
    <w:basedOn w:val="Normal"/>
    <w:uiPriority w:val="99"/>
    <w:pPr>
      <w:spacing w:before="0" w:after="120"/>
    </w:pPr>
    <w:rPr/>
  </w:style>
  <w:style w:type="paragraph" w:styleId="Style21">
    <w:name w:val="List"/>
    <w:basedOn w:val="Style20"/>
    <w:uiPriority w:val="99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Style24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14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6">
    <w:name w:val="Index Heading"/>
    <w:basedOn w:val="Style19"/>
    <w:pPr/>
    <w:rPr/>
  </w:style>
  <w:style w:type="paragraph" w:styleId="Style27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25" w:customStyle="1">
    <w:name w:val="Указатель2"/>
    <w:basedOn w:val="Normal"/>
    <w:uiPriority w:val="99"/>
    <w:qFormat/>
    <w:pPr/>
    <w:rPr/>
  </w:style>
  <w:style w:type="paragraph" w:styleId="15" w:customStyle="1">
    <w:name w:val="Название объекта1"/>
    <w:basedOn w:val="Normal"/>
    <w:uiPriority w:val="99"/>
    <w:qFormat/>
    <w:pPr>
      <w:spacing w:before="120" w:after="120"/>
    </w:pPr>
    <w:rPr>
      <w:i/>
      <w:iCs/>
    </w:rPr>
  </w:style>
  <w:style w:type="paragraph" w:styleId="16" w:customStyle="1">
    <w:name w:val="Указатель1"/>
    <w:basedOn w:val="Normal"/>
    <w:uiPriority w:val="99"/>
    <w:qFormat/>
    <w:pPr/>
    <w:rPr/>
  </w:style>
  <w:style w:type="paragraph" w:styleId="Style28" w:customStyle="1">
    <w:name w:val="Знак Знак Знак Знак Знак Знак Знак"/>
    <w:basedOn w:val="Normal"/>
    <w:uiPriority w:val="99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Cell" w:customStyle="1">
    <w:name w:val="ConsPlusCell"/>
    <w:uiPriority w:val="99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zh-CN" w:bidi="ar-SA"/>
    </w:rPr>
  </w:style>
  <w:style w:type="paragraph" w:styleId="17" w:customStyle="1">
    <w:name w:val="Схема документа1"/>
    <w:basedOn w:val="Normal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9" w:customStyle="1">
    <w:name w:val="Знак"/>
    <w:basedOn w:val="17"/>
    <w:next w:val="17"/>
    <w:uiPriority w:val="99"/>
    <w:qFormat/>
    <w:pPr>
      <w:spacing w:before="280" w:after="280"/>
    </w:pPr>
    <w:rPr>
      <w:rFonts w:ascii="Arial" w:hAnsi="Arial" w:cs="Arial"/>
      <w:sz w:val="24"/>
      <w:szCs w:val="24"/>
      <w:lang w:val="en-US"/>
    </w:rPr>
  </w:style>
  <w:style w:type="paragraph" w:styleId="Style30" w:customStyle="1">
    <w:name w:val="Содержимое таблицы"/>
    <w:basedOn w:val="Normal"/>
    <w:uiPriority w:val="99"/>
    <w:qFormat/>
    <w:pPr/>
    <w:rPr/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3">
    <w:name w:val="Footer"/>
    <w:basedOn w:val="Normal"/>
    <w:uiPriority w:val="99"/>
    <w:pPr>
      <w:widowControl w:val="false"/>
      <w:tabs>
        <w:tab w:val="clear" w:pos="709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34" w:customStyle="1">
    <w:name w:val="Заголовок таблицы"/>
    <w:basedOn w:val="Style30"/>
    <w:uiPriority w:val="99"/>
    <w:qFormat/>
    <w:pPr>
      <w:jc w:val="center"/>
    </w:pPr>
    <w:rPr>
      <w:b/>
      <w:bCs/>
    </w:rPr>
  </w:style>
  <w:style w:type="paragraph" w:styleId="Consplusnonformat" w:customStyle="1">
    <w:name w:val="consplusnonformat"/>
    <w:basedOn w:val="Normal"/>
    <w:uiPriority w:val="99"/>
    <w:qFormat/>
    <w:pPr>
      <w:spacing w:before="280" w:after="280"/>
    </w:pPr>
    <w:rPr/>
  </w:style>
  <w:style w:type="paragraph" w:styleId="Style35" w:customStyle="1">
    <w:name w:val="Стиль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0"/>
      <w:szCs w:val="22"/>
      <w:lang w:val="ru-RU" w:eastAsia="ru-RU" w:bidi="ar-SA"/>
    </w:rPr>
  </w:style>
  <w:style w:type="paragraph" w:styleId="18" w:customStyle="1">
    <w:name w:val="Основной текст1"/>
    <w:basedOn w:val="Normal"/>
    <w:uiPriority w:val="99"/>
    <w:qFormat/>
    <w:pPr>
      <w:shd w:val="clear" w:color="auto" w:fill="FFFFFF"/>
      <w:spacing w:lineRule="exact" w:line="317"/>
      <w:jc w:val="center"/>
    </w:pPr>
    <w:rPr>
      <w:sz w:val="28"/>
      <w:szCs w:val="28"/>
    </w:rPr>
  </w:style>
  <w:style w:type="paragraph" w:styleId="ConsPlusNonformat1" w:customStyle="1">
    <w:name w:val="ConsPlusNonformat"/>
    <w:uiPriority w:val="99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2"/>
      <w:lang w:val="ru-RU" w:eastAsia="ru-RU" w:bidi="ar-SA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19" w:customStyle="1">
    <w:name w:val="Абзац списка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ru-RU"/>
    </w:rPr>
  </w:style>
  <w:style w:type="paragraph" w:styleId="Style36">
    <w:name w:val="Subtitle"/>
    <w:basedOn w:val="Normal"/>
    <w:next w:val="Normal"/>
    <w:qFormat/>
    <w:pPr/>
    <w:rPr>
      <w:rFonts w:ascii="Cambria" w:hAnsi="Cambria" w:eastAsia="Cambria" w:cs="Cambria"/>
      <w:i/>
      <w:iCs/>
      <w:color w:val="4F81BD" w:themeColor="accent1"/>
      <w:spacing w:val="15"/>
    </w:rPr>
  </w:style>
  <w:style w:type="paragraph" w:styleId="26" w:customStyle="1">
    <w:name w:val="Абзац списка2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ru-RU"/>
    </w:rPr>
  </w:style>
  <w:style w:type="paragraph" w:styleId="Default" w:customStyle="1">
    <w:name w:val="Default"/>
    <w:uiPriority w:val="99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3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3151</TotalTime>
  <Application>LibreOffice/7.4.2.3$Windows_X86_64 LibreOffice_project/382eef1f22670f7f4118c8c2dd222ec7ad009daf</Application>
  <AppVersion>15.0000</AppVersion>
  <Pages>6</Pages>
  <Words>1184</Words>
  <Characters>8352</Characters>
  <CharactersWithSpaces>9254</CharactersWithSpaces>
  <Paragraphs>284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2019-02-14T13:41:00Z</dcterms:created>
  <dc:creator>Customer</dc:creator>
  <dc:description/>
  <dc:language>ru-RU</dc:language>
  <cp:lastModifiedBy/>
  <cp:lastPrinted>2023-01-17T16:33:28Z</cp:lastPrinted>
  <dcterms:modified xsi:type="dcterms:W3CDTF">2023-01-19T13:37:53Z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