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1.xml" ContentType="application/vnd.openxmlformats-officedocument.wordprocessingml.footer+xml"/>
  <Override PartName="/word/footer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media/image10.png" ContentType="image/png"/>
  <Override PartName="/word/media/image5.png" ContentType="image/png"/>
  <Override PartName="/word/media/image6.jpeg" ContentType="image/jpeg"/>
  <Override PartName="/word/media/image7.png" ContentType="image/png"/>
  <Override PartName="/word/media/image8.png" ContentType="image/png"/>
  <Override PartName="/word/media/image9.png" ContentType="image/png"/>
  <Override PartName="/word/media/image11.png" ContentType="image/png"/>
  <Override PartName="/word/styles.xml" ContentType="application/vnd.openxmlformats-officedocument.wordprocessingml.styles+xml"/>
  <Override PartName="/word/footer10.xml" ContentType="application/vnd.openxmlformats-officedocument.wordprocessingml.foot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270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547"/>
        <w:gridCol w:w="1445"/>
        <w:gridCol w:w="2756"/>
        <w:gridCol w:w="1359"/>
        <w:gridCol w:w="1163"/>
      </w:tblGrid>
      <w:tr>
        <w:trPr>
          <w:trHeight w:val="1825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>
              <w:rPr/>
              <w:drawing>
                <wp:inline distT="0" distB="0" distL="0" distR="0">
                  <wp:extent cx="523875" cy="600075"/>
                  <wp:effectExtent l="0" t="0" r="0" b="0"/>
                  <wp:docPr id="1" name="Рисунок 1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tabs>
                <w:tab w:val="clear" w:pos="708"/>
                <w:tab w:val="left" w:pos="6480" w:leader="none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Администрация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480" w:leader="none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муниципального образования «Город Новоульяновск»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480" w:leader="none"/>
              </w:tabs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Ульяновской области</w:t>
            </w:r>
          </w:p>
        </w:tc>
      </w:tr>
      <w:tr>
        <w:trPr>
          <w:trHeight w:val="288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П О С Т А Н О В Л Е Н И Е</w:t>
            </w:r>
          </w:p>
        </w:tc>
      </w:tr>
      <w:tr>
        <w:trPr>
          <w:trHeight w:val="288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88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90" w:hRule="atLeast"/>
        </w:trPr>
        <w:tc>
          <w:tcPr>
            <w:tcW w:w="3547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before="0"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05            декабря</w:t>
            </w:r>
          </w:p>
        </w:tc>
        <w:tc>
          <w:tcPr>
            <w:tcW w:w="1445" w:type="dxa"/>
            <w:tcBorders/>
            <w:vAlign w:val="bottom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2023 г.</w:t>
            </w:r>
          </w:p>
        </w:tc>
        <w:tc>
          <w:tcPr>
            <w:tcW w:w="2756" w:type="dxa"/>
            <w:vMerge w:val="restart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3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160"/>
              <w:jc w:val="center"/>
              <w:rPr>
                <w:u w:val="single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  <w:u w:val="none"/>
              </w:rPr>
              <w:t>914-П</w:t>
            </w:r>
          </w:p>
        </w:tc>
        <w:tc>
          <w:tcPr>
            <w:tcW w:w="1163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u w:val="single"/>
              </w:rPr>
            </w:r>
          </w:p>
        </w:tc>
      </w:tr>
      <w:tr>
        <w:trPr>
          <w:trHeight w:val="183" w:hRule="atLeast"/>
        </w:trPr>
        <w:tc>
          <w:tcPr>
            <w:tcW w:w="4992" w:type="dxa"/>
            <w:gridSpan w:val="2"/>
            <w:vMerge w:val="restart"/>
            <w:tcBorders/>
            <w:vAlign w:val="bottom"/>
          </w:tcPr>
          <w:p>
            <w:pPr>
              <w:pStyle w:val="Normal"/>
              <w:widowControl w:val="false"/>
              <w:spacing w:before="12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56" w:type="dxa"/>
            <w:vMerge w:val="continue"/>
            <w:tcBorders/>
            <w:vAlign w:val="bottom"/>
          </w:tcPr>
          <w:p>
            <w:pPr>
              <w:pStyle w:val="Normal"/>
              <w:widowControl w:val="false"/>
              <w:spacing w:before="12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  <w:tc>
          <w:tcPr>
            <w:tcW w:w="13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120"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Экз. №__</w:t>
            </w:r>
          </w:p>
        </w:tc>
        <w:tc>
          <w:tcPr>
            <w:tcW w:w="11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12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35" w:hRule="atLeast"/>
        </w:trPr>
        <w:tc>
          <w:tcPr>
            <w:tcW w:w="4992" w:type="dxa"/>
            <w:gridSpan w:val="2"/>
            <w:vMerge w:val="continue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756" w:type="dxa"/>
            <w:vMerge w:val="continue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22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732" w:hRule="atLeast"/>
        </w:trPr>
        <w:tc>
          <w:tcPr>
            <w:tcW w:w="10270" w:type="dxa"/>
            <w:gridSpan w:val="5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 внесении изменений в Постановление Администрации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муниципального образования «Город Новоульяновск» Ульяновской области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от 27 ноября 2014 г. № 980-П</w:t>
            </w:r>
          </w:p>
        </w:tc>
      </w:tr>
    </w:tbl>
    <w:p>
      <w:pPr>
        <w:pStyle w:val="Normal"/>
        <w:shd w:val="clear" w:color="auto" w:fill="FFFFFF"/>
        <w:tabs>
          <w:tab w:val="clear" w:pos="708"/>
          <w:tab w:val="left" w:pos="4860" w:leader="none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8"/>
          <w:tab w:val="left" w:pos="4860" w:leader="none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Администрация муниципального образования «Город Новоульяновск» Ульяновской области постановляет:</w:t>
      </w:r>
    </w:p>
    <w:p>
      <w:pPr>
        <w:pStyle w:val="Normal"/>
        <w:shd w:val="clear" w:color="auto" w:fill="FFFFFF"/>
        <w:tabs>
          <w:tab w:val="clear" w:pos="708"/>
          <w:tab w:val="left" w:pos="4860" w:leader="none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1. Внести в постановление Администрации муниципального образования «Город Новоульяновск» Ульяновской области </w:t>
      </w:r>
      <w:r>
        <w:rPr>
          <w:rFonts w:cs="Times New Roman" w:ascii="Times New Roman" w:hAnsi="Times New Roman"/>
          <w:sz w:val="28"/>
          <w:szCs w:val="28"/>
        </w:rPr>
        <w:t>от 27 ноября 2014 г. № 980-П «Об утверждении схемы теплоснабжения муниципального образования «Город Новоульяновск» Ульяновской области»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 изменение, изложив Приложение в следующей редакции:</w:t>
      </w:r>
    </w:p>
    <w:p>
      <w:pPr>
        <w:pStyle w:val="Normal"/>
        <w:jc w:val="center"/>
        <w:rPr>
          <w:b/>
          <w:color w:val="000000"/>
          <w:spacing w:val="1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</w:r>
    </w:p>
    <w:p>
      <w:pPr>
        <w:pStyle w:val="Normal"/>
        <w:rPr/>
      </w:pPr>
      <w:r>
        <w:rPr/>
      </w:r>
      <w:r>
        <w:br w:type="page"/>
      </w:r>
    </w:p>
    <w:tbl>
      <w:tblPr>
        <w:tblW w:w="1044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238"/>
        <w:gridCol w:w="4323"/>
        <w:gridCol w:w="1800"/>
        <w:gridCol w:w="1080"/>
      </w:tblGrid>
      <w:tr>
        <w:trPr>
          <w:trHeight w:val="1694" w:hRule="atLeast"/>
        </w:trPr>
        <w:tc>
          <w:tcPr>
            <w:tcW w:w="9361" w:type="dxa"/>
            <w:gridSpan w:val="3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pageBreakBefore/>
              <w:widowControl w:val="false"/>
              <w:spacing w:lineRule="auto" w:line="240" w:before="0" w:after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«Приложение</w:t>
            </w:r>
          </w:p>
          <w:p>
            <w:pPr>
              <w:pStyle w:val="Normal"/>
              <w:widowControl w:val="false"/>
              <w:spacing w:lineRule="auto" w: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 постановлению Администрации</w:t>
            </w:r>
          </w:p>
          <w:p>
            <w:pPr>
              <w:pStyle w:val="Normal"/>
              <w:widowControl w:val="false"/>
              <w:spacing w:lineRule="auto" w: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муниципального образования</w:t>
            </w:r>
          </w:p>
          <w:p>
            <w:pPr>
              <w:pStyle w:val="Normal"/>
              <w:widowControl w:val="false"/>
              <w:spacing w:lineRule="auto" w: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«Город Новоульяновск»</w:t>
            </w:r>
          </w:p>
          <w:p>
            <w:pPr>
              <w:pStyle w:val="Normal"/>
              <w:widowControl w:val="false"/>
              <w:spacing w:lineRule="auto" w: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Ульяновской области</w:t>
            </w:r>
          </w:p>
          <w:p>
            <w:pPr>
              <w:pStyle w:val="Normal"/>
              <w:widowControl w:val="false"/>
              <w:spacing w:lineRule="auto" w: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BodyText"/>
              <w:widowControl w:val="false"/>
              <w:spacing w:before="0" w:after="120"/>
              <w:ind w:hanging="0" w:left="612" w:right="-108"/>
              <w:jc w:val="center"/>
              <w:rPr>
                <w:rFonts w:ascii="Tahoma" w:hAnsi="Tahoma" w:cs="Tahoma"/>
                <w:b/>
                <w:spacing w:val="40"/>
              </w:rPr>
            </w:pPr>
            <w:r>
              <w:rPr>
                <w:rFonts w:cs="Tahoma" w:ascii="Tahoma" w:hAnsi="Tahoma"/>
                <w:b/>
                <w:spacing w:val="40"/>
              </w:rPr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BodyText"/>
              <w:widowControl w:val="false"/>
              <w:spacing w:before="0" w:after="120"/>
              <w:ind w:hanging="0" w:right="643"/>
              <w:rPr>
                <w:rFonts w:ascii="Tahoma" w:hAnsi="Tahoma" w:cs="Tahoma"/>
                <w:b/>
                <w:spacing w:val="40"/>
              </w:rPr>
            </w:pPr>
            <w:r>
              <w:rPr>
                <w:rFonts w:cs="Tahoma" w:ascii="Tahoma" w:hAnsi="Tahoma"/>
                <w:b/>
                <w:spacing w:val="40"/>
              </w:rPr>
            </w:r>
          </w:p>
        </w:tc>
      </w:tr>
      <w:tr>
        <w:trPr>
          <w:trHeight w:val="1464" w:hRule="atLeast"/>
        </w:trPr>
        <w:tc>
          <w:tcPr>
            <w:tcW w:w="9361" w:type="dxa"/>
            <w:gridSpan w:val="3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"/>
              <w:widowControl w:val="false"/>
              <w:ind w:hanging="0" w:left="612" w:right="-108"/>
              <w:jc w:val="center"/>
              <w:rPr>
                <w:rFonts w:ascii="Tahoma" w:hAnsi="Tahoma" w:cs="Tahoma"/>
                <w:b/>
                <w:spacing w:val="20"/>
              </w:rPr>
            </w:pPr>
            <w:r>
              <w:rPr>
                <w:rFonts w:cs="Tahoma" w:ascii="Tahoma" w:hAnsi="Tahoma"/>
                <w:b/>
                <w:spacing w:val="20"/>
              </w:rPr>
              <w:t>ОБЩЕСТВО С ОГРАНИЧЕННОЙ ОТВЕТСТВЕННОСТЬЮ</w:t>
            </w:r>
          </w:p>
          <w:p>
            <w:pPr>
              <w:pStyle w:val="BodyText"/>
              <w:widowControl w:val="false"/>
              <w:spacing w:before="0" w:after="120"/>
              <w:ind w:hanging="0" w:left="612" w:right="-108"/>
              <w:jc w:val="center"/>
              <w:rPr>
                <w:rFonts w:ascii="Tahoma" w:hAnsi="Tahoma" w:cs="Tahoma"/>
                <w:b/>
                <w:spacing w:val="20"/>
              </w:rPr>
            </w:pPr>
            <w:r>
              <w:rPr>
                <w:rFonts w:cs="Tahoma" w:ascii="Lucida Console" w:hAnsi="Lucida Console"/>
                <w:b/>
                <w:i/>
                <w:sz w:val="72"/>
                <w:szCs w:val="72"/>
              </w:rPr>
              <w:t>Спектр Энерго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before="0" w:after="160"/>
              <w:ind w:hanging="0" w:right="643"/>
              <w:jc w:val="right"/>
              <w:rPr>
                <w:rFonts w:ascii="Lucida Console" w:hAnsi="Lucida Console" w:cs="Tahoma"/>
                <w:b/>
                <w:i/>
                <w:i/>
                <w:lang w:val="en-US"/>
              </w:rPr>
            </w:pPr>
            <w:r>
              <w:rPr/>
              <w:drawing>
                <wp:inline distT="0" distB="0" distL="0" distR="0">
                  <wp:extent cx="491490" cy="518795"/>
                  <wp:effectExtent l="0" t="0" r="0" b="0"/>
                  <wp:docPr id="2" name="Рисунок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38" w:type="dxa"/>
            <w:tcBorders>
              <w:top w:val="single" w:sz="4" w:space="0" w:color="000000"/>
            </w:tcBorders>
            <w:shd w:color="auto" w:fill="E6E6E6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cs="Tahoma" w:ascii="Tahoma" w:hAnsi="Tahoma"/>
                <w:sz w:val="16"/>
                <w:szCs w:val="16"/>
              </w:rPr>
              <w:t>432071 г. Ульяновск, ул.</w:t>
            </w:r>
            <w:r>
              <w:rPr>
                <w:rFonts w:cs="Tahoma" w:ascii="Tahoma" w:hAnsi="Tahoma"/>
                <w:sz w:val="16"/>
                <w:szCs w:val="16"/>
                <w:lang w:val="en-US"/>
              </w:rPr>
              <w:t xml:space="preserve"> </w:t>
            </w:r>
            <w:r>
              <w:rPr>
                <w:rFonts w:cs="Tahoma" w:ascii="Tahoma" w:hAnsi="Tahoma"/>
                <w:sz w:val="16"/>
                <w:szCs w:val="16"/>
              </w:rPr>
              <w:t>Федерации 61</w:t>
            </w:r>
          </w:p>
        </w:tc>
        <w:tc>
          <w:tcPr>
            <w:tcW w:w="4323" w:type="dxa"/>
            <w:tcBorders>
              <w:top w:val="single" w:sz="4" w:space="0" w:color="000000"/>
            </w:tcBorders>
            <w:shd w:color="auto" w:fill="E6E6E6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cs="Tahoma" w:ascii="Tahoma" w:hAnsi="Tahoma"/>
                <w:sz w:val="16"/>
                <w:szCs w:val="16"/>
              </w:rPr>
              <w:t>телефон (факс): (8422) 44-43-30 (8422) 44-43-35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</w:tcBorders>
            <w:shd w:color="auto" w:fill="E6E6E6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cs="Tahoma" w:ascii="Tahoma" w:hAnsi="Tahoma"/>
                <w:sz w:val="16"/>
                <w:szCs w:val="16"/>
                <w:lang w:val="en-US"/>
              </w:rPr>
              <w:t>e-mail: spektr.energo@mail.ru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drawing>
          <wp:anchor behindDoc="1" distT="0" distB="0" distL="0" distR="0" simplePos="0" locked="0" layoutInCell="1" allowOverlap="1" relativeHeight="12">
            <wp:simplePos x="0" y="0"/>
            <wp:positionH relativeFrom="column">
              <wp:posOffset>-109220</wp:posOffset>
            </wp:positionH>
            <wp:positionV relativeFrom="paragraph">
              <wp:posOffset>-1087120</wp:posOffset>
            </wp:positionV>
            <wp:extent cx="1193800" cy="689610"/>
            <wp:effectExtent l="0" t="0" r="0" b="0"/>
            <wp:wrapNone/>
            <wp:docPr id="3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3299" r="0" b="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lang w:eastAsia="ru-RU"/>
        </w:rPr>
      </w:pPr>
      <w:r>
        <w:rPr/>
        <w:drawing>
          <wp:inline distT="0" distB="0" distL="0" distR="0">
            <wp:extent cx="1758315" cy="2247265"/>
            <wp:effectExtent l="0" t="0" r="0" b="0"/>
            <wp:docPr id="4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СХЕМА ТЕПЛОСНАБЖЕНИЯ</w:t>
        <w:br/>
        <w:t xml:space="preserve">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«ГОРОД НОВОУЛЬЯНОВСК»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lang w:eastAsia="ru-RU"/>
        </w:rPr>
      </w:pPr>
      <w:bookmarkStart w:id="1" w:name="_Hlk2777368"/>
      <w:r>
        <w:rPr>
          <w:rFonts w:cs="Times New Roman" w:ascii="Times New Roman" w:hAnsi="Times New Roman"/>
          <w:b/>
          <w:bCs/>
          <w:sz w:val="32"/>
          <w:szCs w:val="32"/>
        </w:rPr>
        <w:t>УЛЬЯНОВСКОЙ ОБЛАСТИ НА ПЕРИОД ДО 2030 ГОДА</w:t>
      </w:r>
      <w:bookmarkEnd w:id="1"/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Директор ООО «Спектр Энерго» _____________М.В. Филиппов</w:t>
      </w:r>
      <w:r>
        <w:rPr/>
        <w:br/>
      </w:r>
      <w:r>
        <w:rPr>
          <w:rFonts w:cs="Times New Roman" w:ascii="Times New Roman" w:hAnsi="Times New Roman"/>
          <w:sz w:val="20"/>
          <w:szCs w:val="20"/>
        </w:rPr>
        <w:t>(подпись лица, руководителя юридического лица, индивидуального</w:t>
      </w:r>
      <w:r>
        <w:rPr>
          <w:sz w:val="20"/>
          <w:szCs w:val="20"/>
        </w:rPr>
        <w:br/>
      </w:r>
      <w:r>
        <w:rPr>
          <w:rFonts w:cs="Times New Roman" w:ascii="Times New Roman" w:hAnsi="Times New Roman"/>
          <w:sz w:val="20"/>
          <w:szCs w:val="20"/>
        </w:rPr>
        <w:t>предпринимателя, физического лица) и печать юридического лица,</w:t>
      </w:r>
      <w:r>
        <w:rPr>
          <w:sz w:val="20"/>
          <w:szCs w:val="20"/>
        </w:rPr>
        <w:br/>
      </w:r>
      <w:r>
        <w:rPr>
          <w:rFonts w:cs="Times New Roman" w:ascii="Times New Roman" w:hAnsi="Times New Roman"/>
          <w:sz w:val="20"/>
          <w:szCs w:val="20"/>
        </w:rPr>
        <w:t>индивидуального предпринимателя</w:t>
      </w:r>
      <w:r>
        <w:rPr/>
        <w:br/>
      </w:r>
    </w:p>
    <w:p>
      <w:pPr>
        <w:pStyle w:val="Normal"/>
        <w:jc w:val="right"/>
        <w:rPr>
          <w:rFonts w:ascii="Times New Roman" w:hAnsi="Times New Roman" w:cs="Times New Roman"/>
          <w:sz w:val="20"/>
          <w:szCs w:val="20"/>
        </w:rPr>
      </w:pPr>
      <w:bookmarkStart w:id="2" w:name="_Hlk3794245"/>
      <w:r>
        <w:rPr>
          <w:rFonts w:cs="Times New Roman" w:ascii="Times New Roman" w:hAnsi="Times New Roman"/>
        </w:rPr>
        <w:t>Глава Администрации муниципального образования</w:t>
      </w:r>
      <w:r>
        <w:rPr/>
        <w:br/>
      </w:r>
      <w:r>
        <w:rPr>
          <w:rFonts w:cs="Times New Roman" w:ascii="Times New Roman" w:hAnsi="Times New Roman"/>
        </w:rPr>
        <w:t xml:space="preserve">«Город Новоульяновск» _____________ С.А. </w:t>
      </w:r>
      <w:bookmarkEnd w:id="2"/>
      <w:r>
        <w:rPr>
          <w:rFonts w:cs="Times New Roman" w:ascii="Times New Roman" w:hAnsi="Times New Roman"/>
        </w:rPr>
        <w:t>Ильюшкин</w:t>
      </w:r>
      <w:r>
        <w:rPr/>
        <w:br/>
      </w:r>
      <w:r>
        <w:rPr>
          <w:rFonts w:cs="Times New Roman" w:ascii="Times New Roman" w:hAnsi="Times New Roman"/>
          <w:sz w:val="20"/>
          <w:szCs w:val="20"/>
        </w:rPr>
        <w:t>(должность и подпись руководителя единоличного (коллегиального)</w:t>
      </w:r>
      <w:r>
        <w:rPr>
          <w:sz w:val="20"/>
          <w:szCs w:val="20"/>
        </w:rPr>
        <w:br/>
      </w:r>
      <w:r>
        <w:rPr>
          <w:rFonts w:cs="Times New Roman" w:ascii="Times New Roman" w:hAnsi="Times New Roman"/>
          <w:sz w:val="20"/>
          <w:szCs w:val="20"/>
        </w:rPr>
        <w:t>исполнительного органа организации, заказавшей схему, или</w:t>
      </w:r>
      <w:r>
        <w:rPr>
          <w:sz w:val="20"/>
          <w:szCs w:val="20"/>
        </w:rPr>
        <w:br/>
      </w:r>
      <w:r>
        <w:rPr>
          <w:rFonts w:cs="Times New Roman" w:ascii="Times New Roman" w:hAnsi="Times New Roman"/>
          <w:sz w:val="20"/>
          <w:szCs w:val="20"/>
        </w:rPr>
        <w:t>уполномоченного им лица)</w:t>
      </w:r>
    </w:p>
    <w:p>
      <w:pPr>
        <w:pStyle w:val="Normal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cs="Times New Roman" w:ascii="Times New Roman" w:hAnsi="Times New Roman"/>
          <w:color w:val="000000"/>
          <w:sz w:val="20"/>
          <w:szCs w:val="20"/>
        </w:rPr>
      </w:r>
    </w:p>
    <w:p>
      <w:pPr>
        <w:pStyle w:val="Normal"/>
        <w:jc w:val="center"/>
        <w:rPr>
          <w:lang w:eastAsia="ru-RU"/>
        </w:rPr>
      </w:pPr>
      <w:r>
        <w:rPr>
          <w:color w:val="000000"/>
        </w:rPr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t>г. Ульяновск</w:t>
      </w:r>
      <w:r>
        <w:rPr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2023 год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cs="Times New Roman" w:ascii="Times New Roman" w:hAnsi="Times New Roman"/>
              <w:color w:val="auto"/>
              <w:sz w:val="24"/>
              <w:szCs w:val="24"/>
            </w:rPr>
            <w:t>Оглавление</w:t>
          </w:r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r>
            <w:fldChar w:fldCharType="begin"/>
          </w:r>
          <w:r>
            <w:rPr>
              <w:webHidden/>
              <w:rStyle w:val="Style17"/>
              <w:sz w:val="24"/>
              <w:szCs w:val="24"/>
              <w:vanish w:val="false"/>
              <w:rFonts w:eastAsia="Times New Roman" w:cs="Times New Roman" w:ascii="Times New Roman" w:hAnsi="Times New Roman"/>
              <w:lang w:eastAsia="ru-RU"/>
            </w:rPr>
            <w:instrText xml:space="preserve"> TOC \z \o "1-3" \u \h</w:instrText>
          </w:r>
          <w:r>
            <w:rPr>
              <w:webHidden/>
              <w:rStyle w:val="Style17"/>
              <w:sz w:val="24"/>
              <w:szCs w:val="24"/>
              <w:vanish w:val="false"/>
              <w:rFonts w:eastAsia="Times New Roman" w:cs="Times New Roman" w:ascii="Times New Roman" w:hAnsi="Times New Roman"/>
              <w:lang w:eastAsia="ru-RU"/>
            </w:rPr>
            <w:fldChar w:fldCharType="separate"/>
          </w:r>
          <w:hyperlink w:anchor="_Toc3133863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880" w:leader="none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4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1.1.</w:t>
            </w:r>
            <w:r>
              <w:rPr>
                <w:rStyle w:val="Style17"/>
                <w:rFonts w:eastAsia="" w:cs="Times New Roman" w:ascii="Times New Roman" w:hAnsi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7"/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880" w:leader="none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5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1.2.</w:t>
            </w:r>
            <w:r>
              <w:rPr>
                <w:rStyle w:val="Style17"/>
                <w:rFonts w:eastAsia="" w:cs="Times New Roman" w:ascii="Times New Roman" w:hAnsi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7"/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880" w:leader="none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6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1.3.</w:t>
            </w:r>
            <w:r>
              <w:rPr>
                <w:rStyle w:val="Style17"/>
                <w:rFonts w:eastAsia="" w:cs="Times New Roman" w:ascii="Times New Roman" w:hAnsi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7"/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7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8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2.1. Описание существующих и перспективных зон действия систем теплоснабжения и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69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2.2. Описание существующих и перспективных зон действия индивидуальных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_Toc3133869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0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1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2.4. 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2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3. Существующие и перспективные балансы теплоносителя.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3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rStyle w:val="Style17"/>
                <w:rFonts w:cs="Times New Roman" w:ascii="Times New Roman" w:hAnsi="Times New Roman"/>
                <w:sz w:val="24"/>
                <w:szCs w:val="24"/>
              </w:rPr>
              <w:t>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4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5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4 .Основные положения мастер-плана развития систем теплоснабжения поселения.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6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5. Предложения по строительству, реконструкции и техническому перевооружению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7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8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79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5.3. Предложения по техническому перевооружению источников тепловой энергии с целью повышения эффективности работы систем теплоснабжения.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_Toc3133879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0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1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2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3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4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изменения;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5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мощностей;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6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7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6. Предложения по строительству и реконструкции тепловых сетей.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8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6.1.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89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0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6.3.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1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6.4.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2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6.5. Предложения по строительству и реконструкции тепловых сетей для обеспечения нормативной надежности теплоснабжения потребителей.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3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4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8. Перспективные топливные балансы.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5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6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7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9. Инвестиции в строительство, реконструкцию и техническое перевооружение.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8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9.1.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899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9.2.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_Toc3133899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0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9.3.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1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2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10. Решение об определении единой теплоснабжающей организации.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3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10.1. Реестр зон деятельности единой теплоснабжающей организации.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4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10.2. Основания, в том числе критерии, в соответствии с которыми теплоснабжающая организация определена единой теплоснабжающей организацией.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5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10.3. Информацию о поданных теплоснабжающими организациями заявках на присвоение статуса единой теплоснабжающей организации.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6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10.4.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7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11. Решения о распределении тепловой нагрузки между источниками тепловой энергии.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8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12. Решения по бесхозяйным тепловым сетям.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09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13. Синхронизация схемы теплоснабжения со схемой газоснабжения и газификации поселения, схемой и программой развития электроэнергетики, а также со схемой водоснабжения и водоотведения поселения.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_Toc3133909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10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14. Индикаторы развития систем теплоснабжения поселения, городского округа, города федерального значения.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_Toc3133910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11">
            <w:r>
              <w:rPr>
                <w:webHidden/>
                <w:rStyle w:val="Style17"/>
                <w:rFonts w:eastAsia="Times New Roman" w:cs="Times New Roman" w:ascii="Times New Roman" w:hAnsi="Times New Roman"/>
                <w:vanish w:val="false"/>
                <w:sz w:val="24"/>
                <w:szCs w:val="24"/>
                <w:lang w:eastAsia="ru-RU"/>
              </w:rPr>
              <w:t>Раздел 15. Ценовые (тарифные) последствия.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_Toc3133911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12">
            <w:r>
              <w:rPr>
                <w:webHidden/>
                <w:rStyle w:val="Style17"/>
                <w:rFonts w:cs="Times New Roman" w:ascii="Times New Roman" w:hAnsi="Times New Roman"/>
                <w:vanish w:val="false"/>
                <w:sz w:val="24"/>
                <w:szCs w:val="24"/>
              </w:rPr>
              <w:t>Приложение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_Toc3133912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right" w:pos="10195" w:leader="dot"/>
            </w:tabs>
            <w:rPr>
              <w:rFonts w:ascii="Times New Roman" w:hAnsi="Times New Roman" w:eastAsia="" w:cs="Times New Roman" w:eastAsiaTheme="minorEastAsia"/>
              <w:sz w:val="24"/>
              <w:szCs w:val="24"/>
              <w:lang w:eastAsia="ru-RU"/>
            </w:rPr>
          </w:pPr>
          <w:hyperlink w:anchor="_Toc3133913">
            <w:r>
              <w:rPr>
                <w:webHidden/>
                <w:rStyle w:val="Style17"/>
                <w:rFonts w:cs="Times New Roman" w:ascii="Times New Roman" w:hAnsi="Times New Roman"/>
                <w:vanish w:val="false"/>
                <w:sz w:val="24"/>
                <w:szCs w:val="24"/>
              </w:rPr>
              <w:t>Приложение 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_Toc3133913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7"/>
                <w:vanish w:val="false"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3" w:name="_Toc3133863"/>
      <w:r>
        <w:rPr>
          <w:rFonts w:eastAsia="Times New Roman"/>
          <w:lang w:eastAsia="ru-RU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  <w:bookmarkEnd w:id="3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таблице 1.1. представлен прогноз прироста тепловых нагрузок перспективных объектов жилищного фонда с индивидуальным теплоснабжением.</w:t>
      </w:r>
    </w:p>
    <w:tbl>
      <w:tblPr>
        <w:tblW w:w="10355" w:type="dxa"/>
        <w:jc w:val="left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476"/>
        <w:gridCol w:w="4195"/>
        <w:gridCol w:w="1274"/>
        <w:gridCol w:w="1262"/>
        <w:gridCol w:w="1050"/>
        <w:gridCol w:w="1050"/>
        <w:gridCol w:w="1047"/>
      </w:tblGrid>
      <w:tr>
        <w:trPr>
          <w:trHeight w:val="673" w:hRule="atLeast"/>
        </w:trPr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№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п/п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Номер котельной,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адрес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Ед. изм.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2025-2027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2027-2030</w:t>
            </w:r>
          </w:p>
        </w:tc>
      </w:tr>
      <w:tr>
        <w:trPr/>
        <w:tc>
          <w:tcPr>
            <w:tcW w:w="1035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b/>
              </w:rPr>
              <w:t>г. Новоульяновск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МКД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bCs/>
                <w:color w:val="000000"/>
              </w:rPr>
              <w:t>Индивидуальный жи</w:t>
              <w:softHyphen/>
              <w:t>лищный фонд.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Cs/>
                <w:color w:val="000000"/>
              </w:rPr>
            </w:pPr>
            <w:r>
              <w:rPr/>
              <w:t>Общественные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Cs/>
                <w:color w:val="000000"/>
              </w:rPr>
            </w:pPr>
            <w:r>
              <w:rPr/>
              <w:t>Производственные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>
          <w:trHeight w:val="249" w:hRule="atLeast"/>
        </w:trPr>
        <w:tc>
          <w:tcPr>
            <w:tcW w:w="1035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с. Криуши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МКД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</w:t>
              <w:softHyphen/>
              <w:t>лищный фонд.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Общественные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Производственные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1035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п. Липки</w:t>
            </w:r>
          </w:p>
        </w:tc>
      </w:tr>
      <w:tr>
        <w:trPr>
          <w:trHeight w:val="292" w:hRule="atLeast"/>
        </w:trPr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МКД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>
          <w:trHeight w:val="412" w:hRule="atLeast"/>
        </w:trPr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</w:t>
              <w:softHyphen/>
              <w:t>лищный фонд.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Общественные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Производственные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1035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с. Панская Слобода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МКД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</w:t>
              <w:softHyphen/>
              <w:t>лищный фонд.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Общественные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Производственные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1035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п. Меловой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МКД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</w:t>
              <w:softHyphen/>
              <w:t>лищный фонд.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Общественные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41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Производственные здания</w:t>
            </w:r>
          </w:p>
        </w:tc>
        <w:tc>
          <w:tcPr>
            <w:tcW w:w="1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2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" w:name="_Hlk7091025"/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  <w:bookmarkEnd w:id="4"/>
          </w:p>
        </w:tc>
      </w:tr>
    </w:tbl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numPr>
          <w:ilvl w:val="1"/>
          <w:numId w:val="1"/>
        </w:numPr>
        <w:rPr>
          <w:rFonts w:eastAsia="Times New Roman"/>
          <w:lang w:eastAsia="ru-RU"/>
        </w:rPr>
      </w:pPr>
      <w:bookmarkStart w:id="5" w:name="_Toc3133864"/>
      <w:r>
        <w:rPr>
          <w:rFonts w:eastAsia="Times New Roman"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этапам.</w:t>
      </w:r>
      <w:bookmarkEnd w:id="5"/>
    </w:p>
    <w:p>
      <w:pPr>
        <w:pStyle w:val="ListParagraph"/>
        <w:spacing w:lineRule="auto" w:line="360" w:before="0" w:after="0"/>
        <w:ind w:firstLine="567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 перспективной застройки на территории муниципального образования «Город Новоульяновск» сформирован на основе исходных данных, приведенных в разделе 1. Сводные показатели планируемого строительства жилых зданий в соответствии с генеральным планом представлены в таблице 2.2.</w:t>
      </w:r>
    </w:p>
    <w:p>
      <w:pPr>
        <w:pStyle w:val="ListParagraph"/>
        <w:spacing w:lineRule="auto" w:line="360" w:before="0" w:after="0"/>
        <w:ind w:firstLine="567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 объемов строительства общественного фонда (социальных и общественно-деловых зданий) также сформирован на основании показателей генерального плана, технических условий подключаемых потребителей и проектов планировки перспективной общественной застройки.</w:t>
      </w:r>
    </w:p>
    <w:p>
      <w:pPr>
        <w:pStyle w:val="ListParagraph"/>
        <w:spacing w:lineRule="auto" w:line="360" w:before="0" w:after="0"/>
        <w:ind w:firstLine="567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генеральном плане для некоторых типов объектов (детские сады, школы, больницы и пр.) указано количество мест для проектируемых до 2025 года, объектов социальной и общественно-деловой сферы. Для приведения в сопоставимые условия с показателями жилищного фонда, выраженными в квадратных метрах общей площади, данные показатели для зданий общественного фонда были переведены в единицы площади в соответствие с указаниями СП 118.13330.2012*«Общественные здания и сооружения»</w:t>
      </w:r>
    </w:p>
    <w:p>
      <w:pPr>
        <w:pStyle w:val="ListParagraph"/>
        <w:spacing w:lineRule="auto" w:line="360" w:before="0" w:after="0"/>
        <w:ind w:hanging="0" w:left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>Таблица 1.2. Прогноз приростов площади строительных фондов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15"/>
        <w:gridCol w:w="2107"/>
        <w:gridCol w:w="1237"/>
        <w:gridCol w:w="816"/>
        <w:gridCol w:w="838"/>
        <w:gridCol w:w="837"/>
        <w:gridCol w:w="839"/>
        <w:gridCol w:w="800"/>
        <w:gridCol w:w="715"/>
      </w:tblGrid>
      <w:tr>
        <w:trPr>
          <w:trHeight w:val="397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Элемент территориального деления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Объект строительства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8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Этапы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2027-20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-20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>
        <w:trPr>
          <w:trHeight w:val="441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г. Новоульяновск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-4,028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-0,800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-1,580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-8,040</w:t>
            </w:r>
          </w:p>
        </w:tc>
      </w:tr>
      <w:tr>
        <w:trPr>
          <w:trHeight w:val="441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Инд. Жилые дома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+0,42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+0,42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+0,38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 Липки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Инд. Жилые дома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+0,2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с. Криуши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-6,540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Инд. Жилые дома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+1,32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+1,32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+1,24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с. Панская Слобода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Инд. Жилые дома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+0,2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+0,2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п. Меловой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Инд. Жилые дома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+0,24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+0,24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+0,18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20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тыс. м</w:t>
            </w:r>
            <w:r>
              <w:rPr>
                <w:rFonts w:cs="Times New Roman"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numPr>
          <w:ilvl w:val="1"/>
          <w:numId w:val="1"/>
        </w:numPr>
        <w:rPr>
          <w:lang w:eastAsia="ru-RU"/>
        </w:rPr>
      </w:pPr>
      <w:bookmarkStart w:id="6" w:name="_Toc3133865"/>
      <w:r>
        <w:rPr>
          <w:rFonts w:eastAsia="Times New Roman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</w:p>
    <w:p>
      <w:pPr>
        <w:pStyle w:val="ListParagraph"/>
        <w:spacing w:lineRule="auto" w:line="360" w:before="0" w:after="0"/>
        <w:ind w:firstLine="567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 спроса на тепловую нагрузку и тепловую энергию для жилищного фонда сформирован на базе прогноза строительных фондов, представленного в разделе 1.1, а также нормативных удельных значений теплопотребления и нагрузок на отопление и вентиляцию зданий. При формировании прогноза спроса учтено его снижение за счет перевода жилищного фонда МКД на индивидуальное отопление.</w:t>
      </w:r>
    </w:p>
    <w:tbl>
      <w:tblPr>
        <w:tblW w:w="11049" w:type="dxa"/>
        <w:jc w:val="center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476"/>
        <w:gridCol w:w="2636"/>
        <w:gridCol w:w="1700"/>
        <w:gridCol w:w="995"/>
        <w:gridCol w:w="992"/>
        <w:gridCol w:w="992"/>
        <w:gridCol w:w="991"/>
        <w:gridCol w:w="1135"/>
        <w:gridCol w:w="1130"/>
      </w:tblGrid>
      <w:tr>
        <w:trPr>
          <w:trHeight w:val="1413" w:hRule="atLeast"/>
        </w:trPr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№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п/п</w:t>
            </w:r>
          </w:p>
        </w:tc>
        <w:tc>
          <w:tcPr>
            <w:tcW w:w="2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Современное сост. 2022 г., Гкал/час</w:t>
            </w:r>
          </w:p>
        </w:tc>
        <w:tc>
          <w:tcPr>
            <w:tcW w:w="9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2027-2028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2028-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</w:tr>
      <w:tr>
        <w:trPr/>
        <w:tc>
          <w:tcPr>
            <w:tcW w:w="11047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г. Новоульяновск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2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color w:val="000000"/>
              </w:rPr>
              <w:t>Отопление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26,727</w:t>
            </w:r>
          </w:p>
        </w:tc>
        <w:tc>
          <w:tcPr>
            <w:tcW w:w="9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-0,166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-0,204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-0,486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2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9,309</w:t>
            </w:r>
          </w:p>
        </w:tc>
        <w:tc>
          <w:tcPr>
            <w:tcW w:w="9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0,108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-0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175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-0,119</w:t>
            </w:r>
          </w:p>
        </w:tc>
      </w:tr>
      <w:tr>
        <w:trPr/>
        <w:tc>
          <w:tcPr>
            <w:tcW w:w="11047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с. Криуши</w:t>
            </w:r>
          </w:p>
        </w:tc>
      </w:tr>
      <w:tr>
        <w:trPr/>
        <w:tc>
          <w:tcPr>
            <w:tcW w:w="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2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color w:val="000000"/>
              </w:rPr>
              <w:t>Отопление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2,36</w:t>
            </w:r>
          </w:p>
        </w:tc>
        <w:tc>
          <w:tcPr>
            <w:tcW w:w="9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-0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,398</w:t>
            </w:r>
          </w:p>
        </w:tc>
        <w:tc>
          <w:tcPr>
            <w:tcW w:w="1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0,00</w:t>
            </w:r>
          </w:p>
        </w:tc>
      </w:tr>
    </w:tbl>
    <w:p>
      <w:pPr>
        <w:pStyle w:val="ListParagraph"/>
        <w:ind w:firstLine="567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ind w:firstLine="567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 таблицы следует, что за период до 2030 года по жилищному фонду</w:t>
      </w:r>
    </w:p>
    <w:p>
      <w:pPr>
        <w:pStyle w:val="ListParagraph"/>
        <w:ind w:firstLine="567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прогнозируется:</w:t>
      </w:r>
    </w:p>
    <w:p>
      <w:pPr>
        <w:pStyle w:val="ListParagraph"/>
        <w:ind w:firstLine="567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уменьшение тепловой нагрузки жилищного фонда с централизованным теплоснабжением в муниципальном образовании относительно 2022 года, составит</w:t>
      </w:r>
    </w:p>
    <w:p>
      <w:pPr>
        <w:pStyle w:val="ListParagraph"/>
        <w:spacing w:lineRule="auto" w:line="360" w:before="0" w:after="0"/>
        <w:ind w:firstLine="567" w:lef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прироста тепловой нагрузки общественного фонда с централизованным теплоснабжением в муниципальном образовании не прогнозируется, ввиду отсутствия перспектив увеличения строительных фондов общественных фондов.</w:t>
      </w:r>
    </w:p>
    <w:p>
      <w:pPr>
        <w:pStyle w:val="Heading2"/>
        <w:numPr>
          <w:ilvl w:val="1"/>
          <w:numId w:val="1"/>
        </w:numPr>
        <w:rPr>
          <w:rFonts w:eastAsia="Times New Roman"/>
          <w:lang w:eastAsia="ru-RU"/>
        </w:rPr>
      </w:pPr>
      <w:bookmarkStart w:id="7" w:name="_Toc3133866"/>
      <w:r>
        <w:rPr>
          <w:rFonts w:eastAsia="Times New Roman"/>
          <w:lang w:eastAsia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</w:r>
      <w:bookmarkEnd w:id="7"/>
    </w:p>
    <w:p>
      <w:pPr>
        <w:pStyle w:val="Normal"/>
        <w:spacing w:lineRule="auto" w:line="360" w:before="0" w:after="0"/>
        <w:ind w:firstLine="567"/>
        <w:jc w:val="both"/>
        <w:rPr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технологий. Таким образом, значения существующих нагрузок и потребления тепловой энергии для промышленных предприятий принимаются неизменными на период до 2030 года.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8" w:name="_Toc3133867"/>
      <w:r>
        <w:rPr>
          <w:rFonts w:eastAsia="Times New Roman"/>
          <w:lang w:eastAsia="ru-RU"/>
        </w:rPr>
        <w:t>Раздел 2. Существующие и перспективные балансы тепловой мощности источников тепловой энергии и тепловой нагрузки потребителей.</w:t>
      </w:r>
      <w:bookmarkEnd w:id="8"/>
    </w:p>
    <w:p>
      <w:pPr>
        <w:pStyle w:val="Heading2"/>
        <w:rPr>
          <w:rFonts w:eastAsia="Times New Roman"/>
          <w:lang w:eastAsia="ru-RU"/>
        </w:rPr>
      </w:pPr>
      <w:bookmarkStart w:id="9" w:name="_Toc3133868"/>
      <w:r>
        <w:rPr>
          <w:rFonts w:eastAsia="Times New Roman"/>
          <w:lang w:eastAsia="ru-RU"/>
        </w:rPr>
        <w:t>2.1. Описание существующих и перспективных зон действия систем теплоснабжения и источников тепловой энергии.</w:t>
      </w:r>
      <w:bookmarkEnd w:id="9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Существующие зоны действия источников тепловой энергии на территории муниципального образования «Город Новоульяновск» представлены в приложении 1, а также в документе «Обосновывающие материалы к схеме теплоснабжения муниципального образования «Город Новоульяновск» на период до 2030 года. Книга 1. Существующее положение в сфере производства, передачи и потребления тепловой энергии для целей теплоснабжения.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Перспективные зоны действия источников тепловой энергии по состоянию на 2030 год на территории муниципального образования представлены в приложении 1, а также в документе «Обосновывающие материалы к схеме теплоснабжения муниципального образования «Город Новоульяновск» на период до 2030 года. Книга 6. Предложения по строительству, реконструкции и техническому перевооружению источников тепловой энергии.</w:t>
      </w:r>
    </w:p>
    <w:p>
      <w:pPr>
        <w:pStyle w:val="Heading2"/>
        <w:rPr>
          <w:szCs w:val="28"/>
          <w:lang w:eastAsia="ru-RU"/>
        </w:rPr>
      </w:pPr>
      <w:bookmarkStart w:id="10" w:name="_Toc3133869"/>
      <w:r>
        <w:rPr>
          <w:rFonts w:eastAsia="Times New Roman"/>
          <w:lang w:eastAsia="ru-RU"/>
        </w:rPr>
        <w:t>2.2. Описание существующих и перспективных зон действия индивидуальных источников тепловой энергии.</w:t>
      </w:r>
      <w:bookmarkEnd w:id="10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таблице 2.1. представлен прогноз прироста тепловых нагрузок перспективных объектов жилищного фонда с индивидуальным теплоснабжением.</w:t>
      </w:r>
    </w:p>
    <w:tbl>
      <w:tblPr>
        <w:tblW w:w="10189" w:type="dxa"/>
        <w:jc w:val="left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475"/>
        <w:gridCol w:w="2942"/>
        <w:gridCol w:w="1031"/>
        <w:gridCol w:w="959"/>
        <w:gridCol w:w="928"/>
        <w:gridCol w:w="1041"/>
        <w:gridCol w:w="968"/>
        <w:gridCol w:w="922"/>
        <w:gridCol w:w="922"/>
      </w:tblGrid>
      <w:tr>
        <w:trPr>
          <w:trHeight w:val="561" w:hRule="atLeast"/>
        </w:trPr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№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п/п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Номер котельной,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адрес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Ед. изм.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2027-2028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2028-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</w:tr>
      <w:tr>
        <w:trPr>
          <w:trHeight w:val="21" w:hRule="atLeast"/>
        </w:trPr>
        <w:tc>
          <w:tcPr>
            <w:tcW w:w="1018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г. Новоульяновск</w:t>
            </w:r>
          </w:p>
        </w:tc>
      </w:tr>
      <w:tr>
        <w:trPr>
          <w:trHeight w:val="422" w:hRule="atLeast"/>
        </w:trPr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bCs/>
                <w:color w:val="000000"/>
              </w:rPr>
              <w:t>Индивидуальный жилищный фонд.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0,072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0,054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0,048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0,058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0,064</w:t>
            </w:r>
          </w:p>
        </w:tc>
      </w:tr>
      <w:tr>
        <w:trPr>
          <w:trHeight w:val="249" w:hRule="atLeast"/>
        </w:trPr>
        <w:tc>
          <w:tcPr>
            <w:tcW w:w="1018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с. Криуши</w:t>
            </w:r>
          </w:p>
        </w:tc>
      </w:tr>
      <w:tr>
        <w:trPr/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жилищный фонд.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0,076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0,056</w:t>
            </w:r>
          </w:p>
        </w:tc>
      </w:tr>
      <w:tr>
        <w:trPr/>
        <w:tc>
          <w:tcPr>
            <w:tcW w:w="1018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п. Липки</w:t>
            </w:r>
          </w:p>
        </w:tc>
      </w:tr>
      <w:tr>
        <w:trPr>
          <w:trHeight w:val="412" w:hRule="atLeast"/>
        </w:trPr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жилищный фонд.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1018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с. Панская Слобода</w:t>
            </w:r>
          </w:p>
        </w:tc>
      </w:tr>
      <w:tr>
        <w:trPr/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4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жилищный фонд.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>
        <w:trPr/>
        <w:tc>
          <w:tcPr>
            <w:tcW w:w="10188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п. Меловой</w:t>
            </w:r>
          </w:p>
        </w:tc>
      </w:tr>
      <w:tr>
        <w:trPr/>
        <w:tc>
          <w:tcPr>
            <w:tcW w:w="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5</w:t>
            </w:r>
          </w:p>
        </w:tc>
        <w:tc>
          <w:tcPr>
            <w:tcW w:w="29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Индивидуальный жилищный фонд.</w:t>
            </w:r>
          </w:p>
        </w:tc>
        <w:tc>
          <w:tcPr>
            <w:tcW w:w="10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</w:tbl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2"/>
        <w:rPr>
          <w:szCs w:val="28"/>
        </w:rPr>
      </w:pPr>
      <w:bookmarkStart w:id="11" w:name="_Toc3133870"/>
      <w:r>
        <w:rPr>
          <w:rFonts w:eastAsia="Times New Roman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  <w:bookmarkEnd w:id="11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таблице 2.2 представлен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 Представленные значения показателей в настоящих таблицах для указанного года соответствуют прогнозным на конец соответствующего года.</w:t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footerReference w:type="default" r:id="rId6"/>
          <w:type w:val="nextPage"/>
          <w:pgSz w:w="11906" w:h="16838"/>
          <w:pgMar w:left="1134" w:right="567" w:gutter="0" w:header="0" w:top="567" w:footer="0" w:bottom="567"/>
          <w:pgNumType w:fmt="decimal"/>
          <w:formProt w:val="false"/>
          <w:titlePg/>
          <w:textDirection w:val="lrTb"/>
          <w:docGrid w:type="default" w:linePitch="360" w:charSpace="8192"/>
        </w:sect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55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31"/>
        <w:gridCol w:w="1132"/>
        <w:gridCol w:w="1419"/>
        <w:gridCol w:w="1276"/>
        <w:gridCol w:w="1276"/>
        <w:gridCol w:w="1276"/>
        <w:gridCol w:w="1276"/>
        <w:gridCol w:w="1271"/>
      </w:tblGrid>
      <w:tr>
        <w:trPr>
          <w:tblHeader w:val="true"/>
          <w:trHeight w:val="610" w:hRule="atLeast"/>
        </w:trPr>
        <w:tc>
          <w:tcPr>
            <w:tcW w:w="6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Ед. изм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Современное сост. 2023 г.,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2027-2028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2028-2030</w:t>
            </w:r>
          </w:p>
        </w:tc>
      </w:tr>
      <w:tr>
        <w:trPr>
          <w:trHeight w:val="323" w:hRule="atLeast"/>
        </w:trPr>
        <w:tc>
          <w:tcPr>
            <w:tcW w:w="15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Котельная г. Новоульяновск, пер. Коммунаров</w:t>
            </w:r>
          </w:p>
        </w:tc>
      </w:tr>
      <w:tr>
        <w:trPr>
          <w:trHeight w:val="323" w:hRule="atLeast"/>
        </w:trPr>
        <w:tc>
          <w:tcPr>
            <w:tcW w:w="6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</w:tr>
      <w:tr>
        <w:trPr>
          <w:trHeight w:val="28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</w:tr>
      <w:tr>
        <w:trPr>
          <w:trHeight w:val="261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Затраты тепла на собственные нужды котельной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0,048</w:t>
            </w:r>
          </w:p>
        </w:tc>
      </w:tr>
      <w:tr>
        <w:trPr>
          <w:trHeight w:val="26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Тепловая мощность нетто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21,448</w:t>
            </w:r>
          </w:p>
        </w:tc>
      </w:tr>
      <w:tr>
        <w:trPr>
          <w:trHeight w:val="269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Потери в тепловых сетях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0,707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0,580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0,580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0,580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0,580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0,580</w:t>
            </w:r>
          </w:p>
        </w:tc>
      </w:tr>
      <w:tr>
        <w:trPr>
          <w:trHeight w:val="54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Присоединенная договорная тепловая нагрузка на отопление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8,820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8,820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8,654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8,654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8,150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7,664</w:t>
            </w:r>
          </w:p>
        </w:tc>
      </w:tr>
      <w:tr>
        <w:trPr>
          <w:trHeight w:val="27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Фактическая тепловая нагрузка на коллекторах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9,527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9,400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9,400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9,400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8,730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8,244</w:t>
            </w:r>
          </w:p>
        </w:tc>
      </w:tr>
      <w:tr>
        <w:trPr>
          <w:trHeight w:val="557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Резерв/дефицит тепловой мощности (по фактической</w:t>
              <w:br/>
              <w:t>нагрузке)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11,969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12,096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12,096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12,096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12,718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13,204</w:t>
            </w:r>
          </w:p>
        </w:tc>
      </w:tr>
      <w:tr>
        <w:trPr>
          <w:trHeight w:val="69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15,848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</w:tr>
      <w:tr>
        <w:trPr>
          <w:trHeight w:val="323" w:hRule="atLeast"/>
        </w:trPr>
        <w:tc>
          <w:tcPr>
            <w:tcW w:w="15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Котельная г. Новоульяновск, ул. Ленина,15Б</w:t>
            </w:r>
          </w:p>
        </w:tc>
      </w:tr>
      <w:tr>
        <w:trPr>
          <w:trHeight w:val="323" w:hRule="atLeast"/>
        </w:trPr>
        <w:tc>
          <w:tcPr>
            <w:tcW w:w="6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</w:tr>
      <w:tr>
        <w:trPr>
          <w:trHeight w:val="28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21,496</w:t>
            </w:r>
          </w:p>
        </w:tc>
      </w:tr>
      <w:tr>
        <w:trPr>
          <w:trHeight w:val="261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Затраты тепла на собственные нужды котельной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</w:tr>
      <w:tr>
        <w:trPr>
          <w:trHeight w:val="26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Тепловая мощность нетто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21,444</w:t>
            </w:r>
          </w:p>
        </w:tc>
      </w:tr>
      <w:tr>
        <w:trPr>
          <w:trHeight w:val="269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Потери в тепловых сетях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1,077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1,077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1,077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1,077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1,077</w:t>
            </w:r>
          </w:p>
        </w:tc>
      </w:tr>
      <w:tr>
        <w:trPr>
          <w:trHeight w:val="54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Присоединенная договорная тепловая нагрузка на отопление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17,955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17,955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17,801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17,801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17,801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17,600</w:t>
            </w:r>
          </w:p>
        </w:tc>
      </w:tr>
      <w:tr>
        <w:trPr>
          <w:trHeight w:val="27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Фактическая тепловая нагрузка на коллекторах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19,325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19,032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18,878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18,878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18,878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18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677</w:t>
            </w:r>
          </w:p>
        </w:tc>
      </w:tr>
      <w:tr>
        <w:trPr>
          <w:trHeight w:val="557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Резерв/дефицит тепловой мощности (по фактической</w:t>
              <w:br/>
              <w:t>нагрузке)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2,119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2,412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2,451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2,451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2,451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2,767</w:t>
            </w:r>
          </w:p>
        </w:tc>
      </w:tr>
      <w:tr>
        <w:trPr>
          <w:trHeight w:val="69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15,896</w:t>
            </w:r>
          </w:p>
        </w:tc>
      </w:tr>
      <w:tr>
        <w:trPr>
          <w:trHeight w:val="323" w:hRule="atLeast"/>
        </w:trPr>
        <w:tc>
          <w:tcPr>
            <w:tcW w:w="15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Котельная г. Новоульяновск, ул. Ленина,15а (ГВС)/ЦТП-2</w:t>
            </w:r>
          </w:p>
        </w:tc>
      </w:tr>
      <w:tr>
        <w:trPr>
          <w:trHeight w:val="323" w:hRule="atLeast"/>
        </w:trPr>
        <w:tc>
          <w:tcPr>
            <w:tcW w:w="6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</w:tr>
      <w:tr>
        <w:trPr>
          <w:trHeight w:val="28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5,76</w:t>
            </w:r>
          </w:p>
        </w:tc>
      </w:tr>
      <w:tr>
        <w:trPr>
          <w:trHeight w:val="261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Затраты тепла на собственные нужды котельной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0,052</w:t>
            </w:r>
          </w:p>
        </w:tc>
      </w:tr>
      <w:tr>
        <w:trPr>
          <w:trHeight w:val="26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Тепловая мощность нетто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5,708</w:t>
            </w:r>
          </w:p>
        </w:tc>
      </w:tr>
      <w:tr>
        <w:trPr>
          <w:trHeight w:val="269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Потери в тепловых сетях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0,056</w:t>
            </w:r>
          </w:p>
        </w:tc>
      </w:tr>
      <w:tr>
        <w:trPr>
          <w:trHeight w:val="54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Присоединенная договорная тепловая нагрузка на отопление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5,086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5,086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4,978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4,978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4,803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4,684</w:t>
            </w:r>
          </w:p>
        </w:tc>
      </w:tr>
      <w:tr>
        <w:trPr>
          <w:trHeight w:val="27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Фактическая тепловая нагрузка на коллекторах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5,142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5,142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034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034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4,859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4,740</w:t>
            </w:r>
          </w:p>
        </w:tc>
      </w:tr>
      <w:tr>
        <w:trPr>
          <w:trHeight w:val="557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Резерв/дефицит тепловой мощности (по фактической</w:t>
              <w:br/>
              <w:t>нагрузке)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0,566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0,566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0,674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0,674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0,849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0,968</w:t>
            </w:r>
          </w:p>
        </w:tc>
      </w:tr>
      <w:tr>
        <w:trPr>
          <w:trHeight w:val="69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4,76</w:t>
            </w:r>
          </w:p>
        </w:tc>
      </w:tr>
      <w:tr>
        <w:trPr>
          <w:trHeight w:val="323" w:hRule="atLeast"/>
        </w:trPr>
        <w:tc>
          <w:tcPr>
            <w:tcW w:w="15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</w:tr>
      <w:tr>
        <w:trPr>
          <w:trHeight w:val="323" w:hRule="atLeast"/>
        </w:trPr>
        <w:tc>
          <w:tcPr>
            <w:tcW w:w="6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Установленная тепловая мощность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</w:tr>
      <w:tr>
        <w:trPr>
          <w:trHeight w:val="28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6,45</w:t>
            </w:r>
          </w:p>
        </w:tc>
      </w:tr>
      <w:tr>
        <w:trPr>
          <w:trHeight w:val="261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Затраты тепла на собственные нужды котельной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0,064</w:t>
            </w:r>
          </w:p>
        </w:tc>
      </w:tr>
      <w:tr>
        <w:trPr>
          <w:trHeight w:val="26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Тепловая мощность нетто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6,386</w:t>
            </w:r>
          </w:p>
        </w:tc>
      </w:tr>
      <w:tr>
        <w:trPr>
          <w:trHeight w:val="269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Потери в тепловых сетях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0,737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0,2434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0,2434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0,2434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0,242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0,242</w:t>
            </w:r>
          </w:p>
        </w:tc>
      </w:tr>
      <w:tr>
        <w:trPr>
          <w:trHeight w:val="54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Присоединенная договорная тепловая нагрузка на отопление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2,194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2,194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2,194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2,194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1,796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1,796</w:t>
            </w:r>
          </w:p>
        </w:tc>
      </w:tr>
      <w:tr>
        <w:trPr>
          <w:trHeight w:val="276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Фактическая тепловая нагрузка на коллекторах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2,437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2,437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2,437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2,038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2,038</w:t>
            </w:r>
          </w:p>
        </w:tc>
      </w:tr>
      <w:tr>
        <w:trPr>
          <w:trHeight w:val="557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Резерв/дефицит тепловой мощности (по фактической</w:t>
              <w:br/>
              <w:t>нагрузке)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3,949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3,949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3,949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4,348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4,348</w:t>
            </w:r>
          </w:p>
        </w:tc>
      </w:tr>
      <w:tr>
        <w:trPr>
          <w:trHeight w:val="693" w:hRule="atLeast"/>
        </w:trPr>
        <w:tc>
          <w:tcPr>
            <w:tcW w:w="6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1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</w:tbl>
    <w:p>
      <w:pPr>
        <w:sectPr>
          <w:footerReference w:type="default" r:id="rId7"/>
          <w:footerReference w:type="first" r:id="rId8"/>
          <w:type w:val="nextPage"/>
          <w:pgSz w:orient="landscape" w:w="16838" w:h="11906"/>
          <w:pgMar w:left="567" w:right="567" w:gutter="0" w:header="0" w:top="1134" w:footer="709" w:bottom="766"/>
          <w:pgNumType w:fmt="decimal"/>
          <w:formProt w:val="false"/>
          <w:textDirection w:val="lrTb"/>
          <w:docGrid w:type="default" w:linePitch="360" w:charSpace="8192"/>
        </w:sect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bookmarkStart w:id="12" w:name="_Toc3133871"/>
      <w:r>
        <w:rPr>
          <w:rFonts w:eastAsia="Times New Roman" w:cs="Times New Roman"/>
          <w:color w:val="000000"/>
          <w:sz w:val="27"/>
          <w:szCs w:val="27"/>
          <w:lang w:eastAsia="ru-RU"/>
        </w:rPr>
        <w:t>2.4. 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нецелесообразно.</w:t>
      </w:r>
      <w:bookmarkEnd w:id="12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 соответствии с требованиями к схемам теплоснабжения, радиус</w:t>
        <w:br/>
        <w:t>эффективного теплоснабжения, определяемый для зоны действия каждого</w:t>
        <w:br/>
        <w:t>источника тепловой энергии, должен позволять определить условия, при</w:t>
        <w:br/>
        <w:t>которых подключение новых или увеличивающих тепловую нагрузку</w:t>
        <w:br/>
        <w:t>теплопотребляющих установок к системе теплоснабжения нецелесообразно</w:t>
        <w:br/>
        <w:t>вследствие увеличения совокупных расходов в указанной системе на единицу</w:t>
        <w:br/>
        <w:t>тепловой мощности.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С целью решения указанной задачи была рассмотрена методика</w:t>
        <w:br/>
        <w:t xml:space="preserve">определения радиуса эффективного теплоснабжения,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соответствии с методическими указаниями по разработке схем теплоснабжения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 соответствии с одним из основных положений указанной методики, вывод</w:t>
        <w:br/>
        <w:t>о попадании объекта возможного перспективного присоединения в радиус</w:t>
        <w:br/>
        <w:t>эффективного теплоснабжения принимается исходя из следующего условия:</w:t>
        <w:br/>
        <w:t>отношение совокупных затрат на строительство и эксплуатацию</w:t>
        <w:br/>
        <w:t>тепломагистрали к выручке от реализации тепловой энергии должно быть менее</w:t>
        <w:br/>
        <w:t>или равно 100%. В противном случае рассматриваемый объект не попадает в</w:t>
        <w:br/>
        <w:t>границы радиуса эффективного теплоснабжения и присоединение объекта к</w:t>
        <w:br/>
        <w:t>системе централизованного теплоснабжения является нецелесообразным.</w:t>
        <w:br/>
        <w:t>Для определения попадания объекта, рассматриваемого для подключения</w:t>
        <w:br/>
        <w:t>к СЦТ, в границы радиуса эффективного теплоснабжения, необходимо</w:t>
        <w:br/>
        <w:t>использовать вышеописанный метод, т.е. выполнять сравнительную оценку</w:t>
        <w:br/>
        <w:t>совокупных затрат на подключение и эффекта от подключения объекта; при этом</w:t>
        <w:br/>
        <w:t>в качестве расчетного периода используется полезный срок службы тепловых</w:t>
        <w:br/>
        <w:t>сетей и теплосетевых объектов. Информация о фактическом радиусе</w:t>
        <w:br/>
        <w:t>теплоснабжения для источников тепловой энергии приводится в таблице 2.1.</w:t>
      </w:r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13" w:name="_Hlk2675510"/>
      <w:r>
        <w:rPr>
          <w:rFonts w:cs="Times New Roman" w:ascii="Times New Roman" w:hAnsi="Times New Roman"/>
          <w:bCs/>
          <w:color w:val="000000"/>
          <w:sz w:val="24"/>
          <w:szCs w:val="24"/>
        </w:rPr>
        <w:t>Таблица 2.1. –Фактический радиус теплоснабжения</w:t>
      </w:r>
      <w:bookmarkEnd w:id="13"/>
    </w:p>
    <w:tbl>
      <w:tblPr>
        <w:tblStyle w:val="af7"/>
        <w:tblW w:w="935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4"/>
        <w:gridCol w:w="5675"/>
        <w:gridCol w:w="2838"/>
      </w:tblGrid>
      <w:tr>
        <w:trPr/>
        <w:tc>
          <w:tcPr>
            <w:tcW w:w="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</w:tc>
        <w:tc>
          <w:tcPr>
            <w:tcW w:w="567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Наименование источника</w:t>
            </w:r>
          </w:p>
        </w:tc>
        <w:tc>
          <w:tcPr>
            <w:tcW w:w="283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Фактический радиус, км</w:t>
            </w:r>
          </w:p>
        </w:tc>
      </w:tr>
      <w:tr>
        <w:trPr/>
        <w:tc>
          <w:tcPr>
            <w:tcW w:w="9357" w:type="dxa"/>
            <w:gridSpan w:val="3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г. Новоульяновск</w:t>
            </w:r>
          </w:p>
        </w:tc>
      </w:tr>
      <w:tr>
        <w:trPr/>
        <w:tc>
          <w:tcPr>
            <w:tcW w:w="844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5675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color w:val="000000"/>
                <w:kern w:val="0"/>
                <w:lang w:val="ru-RU" w:bidi="ar-SA"/>
              </w:rPr>
              <w:t>Котельная г. Новоульяновск, пер. Коммунаров</w:t>
            </w:r>
          </w:p>
        </w:tc>
        <w:tc>
          <w:tcPr>
            <w:tcW w:w="2838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ind w:hanging="0" w:left="-57" w:right="-5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906 м</w:t>
            </w:r>
          </w:p>
        </w:tc>
      </w:tr>
      <w:tr>
        <w:trPr/>
        <w:tc>
          <w:tcPr>
            <w:tcW w:w="844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5675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color w:val="000000"/>
                <w:kern w:val="0"/>
                <w:lang w:val="ru-RU" w:bidi="ar-SA"/>
              </w:rPr>
              <w:t>Котельная г. Новоульяновск, ул. Ленина,15Б</w:t>
            </w:r>
          </w:p>
        </w:tc>
        <w:tc>
          <w:tcPr>
            <w:tcW w:w="2838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ind w:hanging="0" w:left="-57" w:right="-5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671 м</w:t>
            </w:r>
          </w:p>
        </w:tc>
      </w:tr>
      <w:tr>
        <w:trPr/>
        <w:tc>
          <w:tcPr>
            <w:tcW w:w="844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5675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Котельная г. Новоульяновск, ул. Ленина,15а (ГВС)/ЦТП-2</w:t>
            </w:r>
          </w:p>
        </w:tc>
        <w:tc>
          <w:tcPr>
            <w:tcW w:w="2838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ind w:hanging="0" w:left="-57" w:right="-5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702 м</w:t>
            </w:r>
          </w:p>
        </w:tc>
      </w:tr>
      <w:tr>
        <w:trPr/>
        <w:tc>
          <w:tcPr>
            <w:tcW w:w="9357" w:type="dxa"/>
            <w:gridSpan w:val="3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ind w:hanging="0" w:left="-57" w:right="-57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с. Криуши</w:t>
            </w:r>
          </w:p>
        </w:tc>
      </w:tr>
      <w:tr>
        <w:trPr/>
        <w:tc>
          <w:tcPr>
            <w:tcW w:w="844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5675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color w:val="000000"/>
                <w:kern w:val="0"/>
                <w:lang w:val="ru-RU" w:bidi="ar-SA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  <w:tc>
          <w:tcPr>
            <w:tcW w:w="2838" w:type="dxa"/>
            <w:tcBorders/>
            <w:vAlign w:val="center"/>
          </w:tcPr>
          <w:p>
            <w:pPr>
              <w:pStyle w:val="NormalWeb"/>
              <w:widowControl/>
              <w:suppressAutoHyphens w:val="true"/>
              <w:spacing w:beforeAutospacing="0" w:before="0" w:after="0"/>
              <w:ind w:hanging="0" w:left="-57" w:right="-5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388 м</w:t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14" w:name="_Toc3133872"/>
      <w:r>
        <w:rPr>
          <w:rFonts w:eastAsia="Times New Roman"/>
          <w:lang w:eastAsia="ru-RU"/>
        </w:rPr>
        <w:t>Раздел 3. Существующие и перспективные балансы теплоносителя.</w:t>
      </w:r>
      <w:bookmarkEnd w:id="14"/>
    </w:p>
    <w:p>
      <w:pPr>
        <w:pStyle w:val="Heading2"/>
        <w:rPr>
          <w:szCs w:val="28"/>
        </w:rPr>
      </w:pPr>
      <w:bookmarkStart w:id="15" w:name="_Toc3133873"/>
      <w:r>
        <w:rPr>
          <w:rFonts w:eastAsia="Times New Roman"/>
          <w:lang w:eastAsia="ru-RU"/>
        </w:rPr>
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>
        <w:rPr>
          <w:szCs w:val="28"/>
        </w:rPr>
        <w:t>.</w:t>
      </w:r>
      <w:bookmarkEnd w:id="15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Перспективные подпитки тепловых сетей разработаны с учетом развития систем теплоснабжения. </w:t>
      </w:r>
      <w:r>
        <w:rPr>
          <w:rFonts w:cs="Times New Roman" w:ascii="Times New Roman" w:hAnsi="Times New Roman"/>
          <w:sz w:val="28"/>
          <w:szCs w:val="28"/>
        </w:rPr>
        <w:t>Установки ВПУ на источниках тепловой энергии отсутствуют и их установка не планируется.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Анализ результатов расчета, представленных в таблице 3.1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3.1. Существующий и перспективный баланс теплоносителя теплопотребляющими установками потребителей</w:t>
      </w:r>
    </w:p>
    <w:tbl>
      <w:tblPr>
        <w:tblW w:w="94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81"/>
        <w:gridCol w:w="1414"/>
        <w:gridCol w:w="1434"/>
        <w:gridCol w:w="1409"/>
        <w:gridCol w:w="1560"/>
      </w:tblGrid>
      <w:tr>
        <w:trPr>
          <w:tblHeader w:val="true"/>
          <w:trHeight w:val="958" w:hRule="atLeast"/>
        </w:trPr>
        <w:tc>
          <w:tcPr>
            <w:tcW w:w="3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Наименование</w:t>
            </w:r>
          </w:p>
        </w:tc>
        <w:tc>
          <w:tcPr>
            <w:tcW w:w="581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Подпитка, м</w:t>
            </w:r>
            <w:r>
              <w:rPr>
                <w:rFonts w:cs="Times New Roman" w:ascii="Times New Roman" w:hAnsi="Times New Roman"/>
                <w:vertAlign w:val="superscript"/>
              </w:rPr>
              <w:t>3</w:t>
            </w:r>
            <w:r>
              <w:rPr>
                <w:rFonts w:cs="Times New Roman" w:ascii="Times New Roman" w:hAnsi="Times New Roman"/>
              </w:rPr>
              <w:t>/ч</w:t>
            </w:r>
          </w:p>
        </w:tc>
      </w:tr>
      <w:tr>
        <w:trPr>
          <w:tblHeader w:val="true"/>
          <w:trHeight w:val="431" w:hRule="atLeast"/>
        </w:trPr>
        <w:tc>
          <w:tcPr>
            <w:tcW w:w="3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Эксплуатационный режим</w:t>
            </w:r>
          </w:p>
        </w:tc>
        <w:tc>
          <w:tcPr>
            <w:tcW w:w="29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Аварийный режим</w:t>
            </w:r>
          </w:p>
        </w:tc>
      </w:tr>
      <w:tr>
        <w:trPr>
          <w:tblHeader w:val="true"/>
          <w:trHeight w:val="379" w:hRule="atLeast"/>
        </w:trPr>
        <w:tc>
          <w:tcPr>
            <w:tcW w:w="3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нормативная</w:t>
            </w:r>
          </w:p>
        </w:tc>
        <w:tc>
          <w:tcPr>
            <w:tcW w:w="14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фактическая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нормативная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фактическая</w:t>
            </w:r>
          </w:p>
        </w:tc>
      </w:tr>
      <w:tr>
        <w:trPr>
          <w:trHeight w:val="340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ind w:hanging="0" w:left="-57" w:right="-57"/>
              <w:jc w:val="center"/>
              <w:rPr>
                <w:sz w:val="22"/>
                <w:szCs w:val="22"/>
              </w:rPr>
            </w:pPr>
            <w:r>
              <w:rPr/>
              <w:t>Котельная г. Новоульяновск, пер. Коммунаров (отопление)</w:t>
            </w: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4,32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5,49</w:t>
            </w:r>
          </w:p>
        </w:tc>
      </w:tr>
      <w:tr>
        <w:trPr>
          <w:trHeight w:val="340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Autospacing="0" w:before="0" w:after="0"/>
              <w:ind w:hanging="0" w:left="-57" w:right="-57"/>
              <w:jc w:val="center"/>
              <w:rPr>
                <w:sz w:val="22"/>
                <w:szCs w:val="22"/>
              </w:rPr>
            </w:pPr>
            <w:r>
              <w:rPr/>
              <w:t>Котельная, ул.Ленина д.15Б, г. Новоульяновск (отопление)</w:t>
            </w:r>
          </w:p>
        </w:tc>
        <w:tc>
          <w:tcPr>
            <w:tcW w:w="14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4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7,73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9,82</w:t>
            </w:r>
          </w:p>
        </w:tc>
      </w:tr>
      <w:tr>
        <w:trPr>
          <w:trHeight w:val="340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Autospacing="0" w:before="0" w:after="0"/>
              <w:ind w:hanging="0" w:left="-57" w:right="-57"/>
              <w:jc w:val="center"/>
              <w:rPr>
                <w:sz w:val="22"/>
                <w:szCs w:val="22"/>
              </w:rPr>
            </w:pPr>
            <w:r>
              <w:rPr/>
              <w:t>Котельная ул.Ленина д.15А, г. Новоульяновск (ГВС)</w:t>
            </w:r>
          </w:p>
        </w:tc>
        <w:tc>
          <w:tcPr>
            <w:tcW w:w="14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0,345</w:t>
            </w:r>
          </w:p>
        </w:tc>
        <w:tc>
          <w:tcPr>
            <w:tcW w:w="14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1,12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1,42</w:t>
            </w:r>
          </w:p>
        </w:tc>
      </w:tr>
      <w:tr>
        <w:trPr>
          <w:trHeight w:val="340" w:hRule="atLeast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beforeAutospacing="0" w:before="0" w:after="0"/>
              <w:ind w:hanging="0" w:left="-57" w:right="-57"/>
              <w:jc w:val="center"/>
              <w:rPr/>
            </w:pPr>
            <w:r>
              <w:rPr/>
              <w:t>Котельная  ОГКП «Корпорация развития коммунального комплекса Ульяновской области» с. Криуши</w:t>
            </w: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1,89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2,40</w:t>
            </w:r>
          </w:p>
        </w:tc>
      </w:tr>
    </w:tbl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Heading2"/>
        <w:rPr>
          <w:rFonts w:eastAsia="Times New Roman"/>
          <w:lang w:eastAsia="ru-RU"/>
        </w:rPr>
      </w:pPr>
      <w:bookmarkStart w:id="16" w:name="_Toc3133874"/>
      <w:r>
        <w:rPr>
          <w:rFonts w:eastAsia="Times New Roman"/>
          <w:lang w:eastAsia="ru-RU"/>
        </w:rPr>
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источника тепловой энергии, аварийную подпитку допускается определять</w:t>
        <w:br/>
        <w:t>только для одной, наибольшей по объему, тепловой сети. Для открытых систем</w:t>
        <w:br/>
        <w:t>теплоснабжения аварийная подпитка должна обеспечиваться только из систем</w:t>
        <w:br/>
        <w:t>хозяйственно-питьевого водоснабжения.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Объемы перспективной аварийной подпитки тепловых сетей химически</w:t>
        <w:br/>
        <w:t>необработанной и недеаэрированной водой приведены в таблице 3.2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3.2. Существующий и перспективный баланс теплоносителя в аварийных режимах работы систем теплоснабжения</w:t>
      </w:r>
    </w:p>
    <w:tbl>
      <w:tblPr>
        <w:tblStyle w:val="af7"/>
        <w:tblW w:w="903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59"/>
        <w:gridCol w:w="1608"/>
        <w:gridCol w:w="734"/>
        <w:gridCol w:w="733"/>
        <w:gridCol w:w="734"/>
        <w:gridCol w:w="732"/>
        <w:gridCol w:w="733"/>
        <w:gridCol w:w="733"/>
        <w:gridCol w:w="734"/>
        <w:gridCol w:w="234"/>
      </w:tblGrid>
      <w:tr>
        <w:trPr>
          <w:tblHeader w:val="true"/>
          <w:trHeight w:val="1067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Наименование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Современное сост. 2023 г.,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м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vertAlign w:val="superscript"/>
                <w:lang w:val="ru-RU" w:eastAsia="en-US" w:bidi="ar-SA"/>
              </w:rPr>
              <w:t>3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/ч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2024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2025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2026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2027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2028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2029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2030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330" w:hRule="atLeast"/>
        </w:trPr>
        <w:tc>
          <w:tcPr>
            <w:tcW w:w="9034" w:type="dxa"/>
            <w:gridSpan w:val="10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Котельная г. Новоульяновск, пер. Коммунаров</w:t>
            </w:r>
          </w:p>
        </w:tc>
      </w:tr>
      <w:tr>
        <w:trPr>
          <w:trHeight w:val="1072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подпиточной воды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0,69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0,69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0,66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0,64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0,61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0,59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0,57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0,54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088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Расход аварийной подпитки системы теплоснабжения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5,49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5,49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5,28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5,07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4,87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4,68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4,50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4,32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330" w:hRule="atLeast"/>
        </w:trPr>
        <w:tc>
          <w:tcPr>
            <w:tcW w:w="9034" w:type="dxa"/>
            <w:gridSpan w:val="10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Котельная г. Новоульяновск, ул. Ленина,15Б</w:t>
            </w:r>
          </w:p>
        </w:tc>
      </w:tr>
      <w:tr>
        <w:trPr>
          <w:trHeight w:val="1066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подпиточной воды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1,23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1,23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1,18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1,14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1,09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1,05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1,01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0,97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082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Расход аварийной подпитки системы теплоснабжения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9,82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9,82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9,44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9,07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8,72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8,38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8,05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7,73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330" w:hRule="atLeast"/>
        </w:trPr>
        <w:tc>
          <w:tcPr>
            <w:tcW w:w="9034" w:type="dxa"/>
            <w:gridSpan w:val="10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Котельная г. Новоульяновск, ул. Ленина,15а (ГВС)/ЦТП-2</w:t>
            </w:r>
          </w:p>
        </w:tc>
      </w:tr>
      <w:tr>
        <w:trPr>
          <w:trHeight w:val="791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подпиточной воды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0,44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0,44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0,42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0,41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0,39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0,38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0,36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0,35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948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Расход аварийной подпитки системы теплоснабжения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1,42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1,42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1,36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1,31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1,26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1,21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1,16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1,12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630" w:hRule="atLeast"/>
        </w:trPr>
        <w:tc>
          <w:tcPr>
            <w:tcW w:w="9034" w:type="dxa"/>
            <w:gridSpan w:val="10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</w:tr>
      <w:tr>
        <w:trPr>
          <w:trHeight w:val="1057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подпиточной воды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0,3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0,29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0,28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0,27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0,26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0,24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  <w:tr>
        <w:trPr>
          <w:trHeight w:val="1131" w:hRule="atLeast"/>
        </w:trPr>
        <w:tc>
          <w:tcPr>
            <w:tcW w:w="205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Расход аварийной подпитки системы теплоснабжения</w:t>
            </w:r>
          </w:p>
        </w:tc>
        <w:tc>
          <w:tcPr>
            <w:tcW w:w="160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2,4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2,4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2,31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2,22</w:t>
            </w:r>
          </w:p>
        </w:tc>
        <w:tc>
          <w:tcPr>
            <w:tcW w:w="73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2,13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2,05</w:t>
            </w:r>
          </w:p>
        </w:tc>
        <w:tc>
          <w:tcPr>
            <w:tcW w:w="73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1,97</w:t>
            </w:r>
          </w:p>
        </w:tc>
        <w:tc>
          <w:tcPr>
            <w:tcW w:w="73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1,89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</w:tbl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17" w:name="_Toc3133875"/>
      <w:r>
        <w:rPr>
          <w:rFonts w:eastAsia="Times New Roman"/>
          <w:lang w:eastAsia="ru-RU"/>
        </w:rPr>
        <w:t>Раздел 4 .Основные положения мастер-плана развития систем теплоснабжения поселения.</w:t>
      </w:r>
      <w:bookmarkEnd w:id="17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варианты развития системы теплоснабжения МО «Город Новоульяновск» сформированы на основе территориально-распределенного прогноза изменения тепловой нагрузки, приведенного в главе 2 «Перспективное потребление тепловой энергии на цели теплоснабжения», а также на основе Проекта Генерального плана поселения.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Предлагаемые варианты развития системы теплоснабжения представлены в таблице 4.1.</w:t>
      </w:r>
    </w:p>
    <w:p>
      <w:pPr>
        <w:pStyle w:val="Normal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Таблица 4.1.</w:t>
      </w:r>
    </w:p>
    <w:tbl>
      <w:tblPr>
        <w:tblW w:w="9983" w:type="dxa"/>
        <w:jc w:val="center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2580"/>
        <w:gridCol w:w="3644"/>
        <w:gridCol w:w="3759"/>
      </w:tblGrid>
      <w:tr>
        <w:trPr>
          <w:tblHeader w:val="true"/>
          <w:trHeight w:val="624" w:hRule="atLeast"/>
        </w:trPr>
        <w:tc>
          <w:tcPr>
            <w:tcW w:w="2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Зонирование</w:t>
            </w:r>
          </w:p>
        </w:tc>
        <w:tc>
          <w:tcPr>
            <w:tcW w:w="3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1 Вариант развития систем теплоснабжения</w:t>
            </w:r>
          </w:p>
        </w:tc>
        <w:tc>
          <w:tcPr>
            <w:tcW w:w="3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2 Вариант развития систем теплоснабжения</w:t>
            </w:r>
          </w:p>
        </w:tc>
      </w:tr>
      <w:tr>
        <w:trPr/>
        <w:tc>
          <w:tcPr>
            <w:tcW w:w="2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г. Новоульяновск</w:t>
            </w:r>
          </w:p>
        </w:tc>
        <w:tc>
          <w:tcPr>
            <w:tcW w:w="3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Перекладка существующих трубопроводов теплоснабжения с приведением диаметров трубопроводов в соответствии с гидравлическим режимом работы теплосети</w:t>
            </w:r>
          </w:p>
        </w:tc>
        <w:tc>
          <w:tcPr>
            <w:tcW w:w="3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Поддержание оборудования и тепловых сетей в состоянии необходимого для надежного теплоснабжения потребителей. Установка ИТП на котельной пер. Коммунаров, для обеспечения потребителей подключенных к котельной ГВС</w:t>
            </w:r>
          </w:p>
        </w:tc>
      </w:tr>
      <w:tr>
        <w:trPr/>
        <w:tc>
          <w:tcPr>
            <w:tcW w:w="25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color w:val="000000"/>
              </w:rPr>
              <w:t>с. Криуши</w:t>
            </w:r>
          </w:p>
        </w:tc>
        <w:tc>
          <w:tcPr>
            <w:tcW w:w="36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Перекладка существующих трубопроводов теплоснабжения с приведением диаметров трубопроводов в соответствии с гидравлическим режимом работы теплосети</w:t>
            </w:r>
          </w:p>
        </w:tc>
        <w:tc>
          <w:tcPr>
            <w:tcW w:w="3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Поддержание оборудования и тепловых сетей в состоянии необходимого для надежного теплоснабжения потребителей</w:t>
            </w:r>
          </w:p>
        </w:tc>
      </w:tr>
    </w:tbl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cs="Times New Roman" w:ascii="Times New Roman" w:hAnsi="Times New Roman"/>
          <w:sz w:val="28"/>
          <w:szCs w:val="28"/>
        </w:rPr>
        <w:t>При этом для всех рассмотренных котельных развитие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Style w:val="Fontstyle01"/>
          <w:rFonts w:cs="Times New Roman" w:ascii="Times New Roman" w:hAnsi="Times New Roman"/>
          <w:sz w:val="28"/>
          <w:szCs w:val="28"/>
        </w:rPr>
        <w:t>предусматривается: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Fontstyle21"/>
          <w:rFonts w:eastAsia="Symbol" w:cs="Symbol" w:ascii="Symbol" w:hAnsi="Symbol"/>
          <w:sz w:val="28"/>
          <w:szCs w:val="28"/>
        </w:rPr>
        <w:sym w:font="Symbol" w:char="f0b7"/>
      </w:r>
      <w:r>
        <w:rPr>
          <w:rStyle w:val="Fontstyle01"/>
          <w:rFonts w:cs="Times New Roman" w:ascii="Times New Roman" w:hAnsi="Times New Roman"/>
          <w:sz w:val="28"/>
          <w:szCs w:val="28"/>
        </w:rPr>
        <w:t>Температурный график отпуска теплоты от существующих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Fontstyle01"/>
          <w:rFonts w:cs="Times New Roman" w:ascii="Times New Roman" w:hAnsi="Times New Roman"/>
          <w:sz w:val="28"/>
          <w:szCs w:val="28"/>
        </w:rPr>
        <w:t>источников тепловой энергии (мощности): в соответствии с существующим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Style w:val="Fontstyle01"/>
          <w:rFonts w:cs="Times New Roman" w:ascii="Times New Roman" w:hAnsi="Times New Roman"/>
          <w:sz w:val="28"/>
          <w:szCs w:val="28"/>
        </w:rPr>
        <w:t>графиком;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Fontstyle21"/>
          <w:rFonts w:eastAsia="Symbol" w:cs="Symbol" w:ascii="Symbol" w:hAnsi="Symbol"/>
          <w:sz w:val="28"/>
          <w:szCs w:val="28"/>
        </w:rPr>
        <w:sym w:font="Symbol" w:char="f0b7"/>
      </w:r>
      <w:r>
        <w:rPr>
          <w:rStyle w:val="Fontstyle01"/>
          <w:rFonts w:cs="Times New Roman" w:ascii="Times New Roman" w:hAnsi="Times New Roman"/>
          <w:sz w:val="28"/>
          <w:szCs w:val="28"/>
        </w:rPr>
        <w:t>Температурный график отпуска теплоты от предлагаемых к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Style w:val="Fontstyle01"/>
          <w:rFonts w:cs="Times New Roman" w:ascii="Times New Roman" w:hAnsi="Times New Roman"/>
          <w:sz w:val="28"/>
          <w:szCs w:val="28"/>
        </w:rPr>
        <w:t xml:space="preserve">строительству источников: 95/70 </w:t>
      </w:r>
      <w:r>
        <w:rPr>
          <w:rStyle w:val="Fontstyle01"/>
          <w:rFonts w:cs="Times New Roman" w:ascii="Times New Roman" w:hAnsi="Times New Roman"/>
          <w:sz w:val="28"/>
          <w:szCs w:val="28"/>
          <w:vertAlign w:val="superscript"/>
        </w:rPr>
        <w:t>0</w:t>
      </w:r>
      <w:r>
        <w:rPr>
          <w:rStyle w:val="Fontstyle01"/>
          <w:rFonts w:cs="Times New Roman" w:ascii="Times New Roman" w:hAnsi="Times New Roman"/>
          <w:sz w:val="28"/>
          <w:szCs w:val="28"/>
        </w:rPr>
        <w:t>С (с возможностью корректировки при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Style w:val="Fontstyle01"/>
          <w:rFonts w:cs="Times New Roman" w:ascii="Times New Roman" w:hAnsi="Times New Roman"/>
          <w:sz w:val="28"/>
          <w:szCs w:val="28"/>
        </w:rPr>
        <w:t>выполнении ежегодной актуализации схемы теплоснабжения);</w:t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реализации 1 варианта развития, затраты на реализацию составит 12464,00 тыс. рублей в том числе НДС, в ценах 2023 г. </w:t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реализации 2 варианта развития, затраты на реализацию составят 34512,00 тыс. рублей в том числе НДС, в ценах 2023 г.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18" w:name="_Toc3133876"/>
      <w:r>
        <w:rPr>
          <w:rFonts w:eastAsia="Times New Roman"/>
          <w:lang w:eastAsia="ru-RU"/>
        </w:rPr>
        <w:t>Раздел 5. Предложения по строительству, реконструкции и техническому перевооружению источников тепловой энергии.</w:t>
      </w:r>
      <w:bookmarkEnd w:id="18"/>
    </w:p>
    <w:p>
      <w:pPr>
        <w:pStyle w:val="Heading2"/>
        <w:rPr>
          <w:rFonts w:eastAsia="Times New Roman"/>
          <w:lang w:eastAsia="ru-RU"/>
        </w:rPr>
      </w:pPr>
      <w:bookmarkStart w:id="19" w:name="_Toc3133877"/>
      <w:r>
        <w:rPr>
          <w:rFonts w:eastAsia="Times New Roman"/>
          <w:lang w:eastAsia="ru-RU"/>
        </w:rPr>
        <w:t>5.1.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</w:t>
      </w:r>
      <w:bookmarkEnd w:id="19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Строительство новых источников тепловой энергии не планируется.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0" w:name="_Toc3133878"/>
      <w:r>
        <w:rPr>
          <w:rFonts w:eastAsia="Times New Roman"/>
          <w:lang w:eastAsia="ru-RU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0"/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cs="Times New Roman" w:ascii="Times New Roman" w:hAnsi="Times New Roman"/>
          <w:sz w:val="28"/>
          <w:szCs w:val="28"/>
        </w:rPr>
        <w:t>Предлагается провести техническое перевооружение котельной в г. Новоульяновске, пер. Коммунаров, с установкой ИТП и прокладкой дополнительных тепловых сетей для выработки ГВС на нужды потребителей котельной.</w:t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918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641"/>
        <w:gridCol w:w="3324"/>
        <w:gridCol w:w="2521"/>
        <w:gridCol w:w="804"/>
        <w:gridCol w:w="955"/>
        <w:gridCol w:w="1672"/>
      </w:tblGrid>
      <w:tr>
        <w:trPr>
          <w:trHeight w:val="518" w:hRule="exact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sz w:val="22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п/п</w:t>
            </w:r>
          </w:p>
        </w:tc>
        <w:tc>
          <w:tcPr>
            <w:tcW w:w="3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Адрес (наименование населённого пункта, улицы, № дома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Вид работ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Ед. изм.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Объём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работ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</w:rPr>
              <w:t>Стоимость работ (тыс. руб.)</w:t>
            </w:r>
          </w:p>
        </w:tc>
      </w:tr>
      <w:tr>
        <w:trPr>
          <w:trHeight w:val="241" w:hRule="exact"/>
        </w:trPr>
        <w:tc>
          <w:tcPr>
            <w:tcW w:w="6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3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74" w:hRule="exact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г. Новоульяновск</w:t>
            </w:r>
          </w:p>
        </w:tc>
      </w:tr>
      <w:tr>
        <w:trPr>
          <w:trHeight w:val="3093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</w:rPr>
              <w:t>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</w:rPr>
              <w:t>г. Новоульяновск, котельная пер. Коммунаров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</w:rPr>
              <w:t>техническое перевооружение котельной в г. Новоульяновске, пер. Коммунаров, с установкой ИТП и прокладкой дополнительных тепловых сетей для выработки ГВС на нужды потребителей котельной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CourierNew8pt"/>
                <w:rFonts w:eastAsia="Calibri" w:cs="Times New Roman" w:ascii="Times New Roman" w:hAnsi="Times New Roman" w:eastAsiaTheme="minorHAnsi"/>
                <w:b w:val="false"/>
                <w:sz w:val="22"/>
                <w:szCs w:val="22"/>
              </w:rPr>
              <w:t>шт.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</w:rPr>
            </w:pPr>
            <w:r>
              <w:rPr>
                <w:rFonts w:cs="Times New Roman" w:ascii="Times New Roman" w:hAnsi="Times New Roman"/>
                <w:bCs/>
                <w:color w:val="000000"/>
              </w:rPr>
              <w:t>27680,00</w:t>
            </w:r>
          </w:p>
        </w:tc>
      </w:tr>
      <w:tr>
        <w:trPr>
          <w:trHeight w:val="339" w:hRule="exact"/>
        </w:trPr>
        <w:tc>
          <w:tcPr>
            <w:tcW w:w="8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Style w:val="21"/>
                <w:rFonts w:eastAsia="Calibri" w:eastAsiaTheme="minorHAnsi"/>
                <w:b w:val="false"/>
                <w:sz w:val="22"/>
              </w:rPr>
            </w:pPr>
            <w:r>
              <w:rPr>
                <w:rStyle w:val="22"/>
                <w:rFonts w:eastAsia="Calibri" w:eastAsiaTheme="minorHAnsi"/>
              </w:rPr>
              <w:t>Всего: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27680,00</w:t>
            </w:r>
          </w:p>
        </w:tc>
      </w:tr>
    </w:tbl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1" w:name="_Toc3133879"/>
      <w:r>
        <w:rPr>
          <w:rFonts w:eastAsia="Times New Roman"/>
          <w:lang w:eastAsia="ru-RU"/>
        </w:rPr>
        <w:t>5.3. 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1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Техническое перевооружение источников тепловой энергии с целью повышения эффективности работы систем теплоснабжения не планируется.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2" w:name="_Toc3133880"/>
      <w:r>
        <w:rPr>
          <w:rFonts w:eastAsia="Times New Roman"/>
          <w:lang w:eastAsia="ru-RU"/>
        </w:rPr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22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На территории муниципального образования отсутствуют источники тепловой энергии работающие в режиме комбинированной выработки электрической и тепловой энергии.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3" w:name="_Toc3133881"/>
      <w:r>
        <w:rPr>
          <w:rFonts w:eastAsia="Times New Roman"/>
          <w:lang w:eastAsia="ru-RU"/>
        </w:rPr>
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23"/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cs="Times New Roman" w:ascii="Times New Roman" w:hAnsi="Times New Roman"/>
          <w:sz w:val="28"/>
          <w:szCs w:val="28"/>
        </w:rPr>
        <w:t xml:space="preserve">Избыточных источников тепловой энергии, а также источников тепловой энергии, выработавших нормативный срок службы на территории </w:t>
      </w:r>
      <w:r>
        <w:rPr>
          <w:rFonts w:cs="Times New Roman" w:ascii="Times New Roman" w:hAnsi="Times New Roman"/>
          <w:sz w:val="28"/>
          <w:szCs w:val="28"/>
          <w:lang w:eastAsia="ru-RU"/>
        </w:rPr>
        <w:t>муниципального образования</w:t>
      </w:r>
      <w:r>
        <w:rPr>
          <w:rStyle w:val="Fontstyle01"/>
          <w:rFonts w:cs="Times New Roman" w:ascii="Times New Roman" w:hAnsi="Times New Roman"/>
          <w:sz w:val="28"/>
          <w:szCs w:val="28"/>
        </w:rPr>
        <w:t xml:space="preserve"> отсутствуют.</w:t>
      </w:r>
    </w:p>
    <w:p>
      <w:pPr>
        <w:pStyle w:val="Normal"/>
        <w:spacing w:lineRule="auto" w:line="360" w:before="0" w:after="0"/>
        <w:ind w:firstLine="567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2"/>
        <w:rPr>
          <w:rFonts w:eastAsia="Times New Roman"/>
          <w:lang w:eastAsia="ru-RU"/>
        </w:rPr>
      </w:pPr>
      <w:bookmarkStart w:id="24" w:name="_Toc3133882"/>
      <w:r>
        <w:rPr>
          <w:rFonts w:eastAsia="Times New Roman"/>
          <w:lang w:eastAsia="ru-RU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</w:r>
      <w:bookmarkEnd w:id="24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Источники тепловой энергии, функционирующие в режиме комбинированной выработки электрической и тепловой энергии в муниципальном образовании отсутствуют.</w:t>
      </w:r>
    </w:p>
    <w:p>
      <w:pPr>
        <w:pStyle w:val="Normal"/>
        <w:spacing w:lineRule="auto" w:line="360" w:before="0"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5" w:name="_Toc3133883"/>
      <w:r>
        <w:rPr>
          <w:rFonts w:eastAsia="Times New Roman"/>
          <w:lang w:eastAsia="ru-RU"/>
        </w:rPr>
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</w:r>
      <w:bookmarkEnd w:id="25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Источники тепловой энергии, функционирующие в режиме комбинированной выработки электрической и тепловой энергии в муниципальном образовании отсутствуют.</w:t>
      </w:r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6" w:name="_Toc3133884"/>
      <w:r>
        <w:rPr>
          <w:rFonts w:eastAsia="Times New Roman"/>
          <w:lang w:eastAsia="ru-RU"/>
        </w:rPr>
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изменения;</w:t>
      </w:r>
      <w:bookmarkEnd w:id="26"/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7" w:name="_Toc3133885"/>
      <w:r>
        <w:rPr>
          <w:rFonts w:eastAsia="Times New Roman"/>
          <w:lang w:eastAsia="ru-RU"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мощностей;</w:t>
      </w:r>
      <w:bookmarkEnd w:id="27"/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  <w:t>Изменение установленной мощности тепловых источников не планируется.</w:t>
      </w:r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28" w:name="_Toc3133886"/>
      <w:r>
        <w:rPr>
          <w:rFonts w:eastAsia="Times New Roman"/>
          <w:lang w:eastAsia="ru-RU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  <w:bookmarkEnd w:id="28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Использование возобновляемых источников энергии, а также местных видов топлива не целесообразно.</w:t>
      </w:r>
    </w:p>
    <w:p>
      <w:pPr>
        <w:pStyle w:val="Heading2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Heading2"/>
        <w:jc w:val="center"/>
        <w:rPr>
          <w:szCs w:val="28"/>
        </w:rPr>
      </w:pPr>
      <w:bookmarkStart w:id="29" w:name="_Toc3133887"/>
      <w:r>
        <w:rPr>
          <w:rFonts w:eastAsia="Times New Roman"/>
          <w:lang w:eastAsia="ru-RU"/>
        </w:rPr>
        <w:t>Раздел 6. Предложения по строительству и реконструкции тепловых сетей.</w:t>
      </w:r>
      <w:bookmarkEnd w:id="29"/>
    </w:p>
    <w:p>
      <w:pPr>
        <w:pStyle w:val="Heading2"/>
        <w:rPr>
          <w:rFonts w:eastAsia="Times New Roman"/>
          <w:lang w:eastAsia="ru-RU"/>
        </w:rPr>
      </w:pPr>
      <w:bookmarkStart w:id="30" w:name="_Toc3133888"/>
      <w:r>
        <w:rPr>
          <w:rFonts w:eastAsia="Times New Roman"/>
          <w:lang w:eastAsia="ru-RU"/>
        </w:rPr>
        <w:t>6.1.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30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Ввиду больших расстояний между тепловыми источниками, и отсутствием резервов тепловой мощности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не целесообразно.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31" w:name="_Toc3133889"/>
      <w:r>
        <w:rPr>
          <w:rFonts w:eastAsia="Times New Roman"/>
          <w:lang w:eastAsia="ru-RU"/>
        </w:rPr>
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застройку.</w:t>
      </w:r>
      <w:bookmarkEnd w:id="31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так как прирост тепловой нагрузки в перспективе незначителен ввиду строительства индивидуального жилища.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32" w:name="_Toc3133890"/>
      <w:r>
        <w:rPr>
          <w:rFonts w:eastAsia="Times New Roman"/>
          <w:lang w:eastAsia="ru-RU"/>
        </w:rPr>
        <w:t>6.3.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32"/>
    </w:p>
    <w:p>
      <w:pPr>
        <w:pStyle w:val="Normal"/>
        <w:spacing w:lineRule="auto" w:line="360" w:before="0" w:after="0"/>
        <w:ind w:firstLine="567"/>
        <w:jc w:val="both"/>
        <w:rPr>
          <w:rFonts w:eastAsia="Times New Roman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не планируется, ввиду малого числа абонентов с централизованным теплоснабжением, высокой удаленности тепловых источников, и малым запасом резервов тепловой мощности котельных.</w:t>
      </w:r>
    </w:p>
    <w:p>
      <w:pPr>
        <w:pStyle w:val="Heading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33" w:name="_Toc3133891"/>
      <w:r>
        <w:rPr>
          <w:rFonts w:eastAsia="Times New Roman"/>
          <w:lang w:eastAsia="ru-RU"/>
        </w:rPr>
        <w:t>6.4.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</w:r>
      <w:bookmarkEnd w:id="33"/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Перечень участков тепловых сетей, подлежащих замене в связи с</w:t>
        <w:br/>
        <w:t>исчерпанием эксплуатационного ресурса, и капитальные затраты на</w:t>
        <w:br/>
        <w:t>реконструкцию представлены в таблице 6.1. По результатам проведения</w:t>
        <w:br/>
        <w:t>поверочных и наладочных расчетов в электронной модели системы</w:t>
        <w:br/>
        <w:t>теплоснабжения, была предложена реконструкция участков тепловой сети со</w:t>
        <w:br/>
        <w:t>сроком эксплуатации, достигшим нормативного, а также для оптимизации</w:t>
        <w:br/>
        <w:t>гидравлического режима работы тепловых сетей.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трубопроводы со сроком эксплуатации 25 лет и более предлагается</w:t>
        <w:br/>
        <w:t>заменить на новые без изменения или с частичным изменением диаметров. В</w:t>
        <w:br/>
        <w:t>качестве изоляционного материала предлагается использовать пенополиуретан</w:t>
        <w:br/>
        <w:t>(ППУ).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Перед заменой участков тепловых сетей рекомендуется проводить</w:t>
        <w:br/>
        <w:t>комплексную диагностику трубопроводов (неразрушающих контроль), для</w:t>
        <w:br/>
        <w:t>уточнения необходимости замены.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Основным эффектом от реализации данного мероприятия является</w:t>
        <w:br/>
        <w:t>снижение тепловых потерь при передаче теплоносителя от источника до</w:t>
        <w:br/>
        <w:t>потребителей и повышение надежности теплоснабжения потребителей.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Сводная стоимость финансовых потребностей на проведение мероприятий</w:t>
        <w:br/>
        <w:t>по реконструкции тепловых сетей, подлежащих замене в связи с исчерпанием</w:t>
        <w:br/>
        <w:t>эксплуатационного ресурса (в ценах 2023 г.) приведена в таблице 6.2.</w:t>
      </w:r>
    </w:p>
    <w:p>
      <w:pPr>
        <w:pStyle w:val="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Таблица 6.1 - Перечень участков тепловых сетей, подлежащих замене в связи с исчерпанием эксплуатационного ресурса, в зоне тепловых источников.</w:t>
      </w:r>
    </w:p>
    <w:tbl>
      <w:tblPr>
        <w:tblW w:w="9918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641"/>
        <w:gridCol w:w="3324"/>
        <w:gridCol w:w="2521"/>
        <w:gridCol w:w="804"/>
        <w:gridCol w:w="955"/>
        <w:gridCol w:w="1672"/>
      </w:tblGrid>
      <w:tr>
        <w:trPr>
          <w:trHeight w:val="518" w:hRule="exact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п/п</w:t>
            </w:r>
          </w:p>
        </w:tc>
        <w:tc>
          <w:tcPr>
            <w:tcW w:w="3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Адрес (наименование населённого пункта, улицы, № дома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Вид работ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Ед. изм.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Объём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работ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Стоимость работ (млн. руб.)</w:t>
            </w:r>
          </w:p>
        </w:tc>
      </w:tr>
      <w:tr>
        <w:trPr>
          <w:trHeight w:val="241" w:hRule="exact"/>
        </w:trPr>
        <w:tc>
          <w:tcPr>
            <w:tcW w:w="6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3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74" w:hRule="exact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г. Новоульяновск</w:t>
            </w:r>
          </w:p>
        </w:tc>
      </w:tr>
      <w:tr>
        <w:trPr>
          <w:trHeight w:val="111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Советская 12-14/Матросова(от опуска в землю)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тепловой сети Ду325-140,  ГВС Ду 100-120, Ду 76-120м.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480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3,840</w:t>
            </w:r>
          </w:p>
        </w:tc>
      </w:tr>
      <w:tr>
        <w:trPr>
          <w:trHeight w:val="103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Советская 7-Советская 1 ( квартальная тепловая сеть 4 квартала)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надземной сети отопления Ду325-60 м,Ду100-145 м,Ду80-145м.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580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4,640</w:t>
            </w:r>
          </w:p>
        </w:tc>
      </w:tr>
      <w:tr>
        <w:trPr>
          <w:trHeight w:val="1414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3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 сети отопления рассечные запорные устройства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запорной арматуры на сетях отопления г.Новоульяновск и с.Криуши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шт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0,080</w:t>
            </w:r>
          </w:p>
        </w:tc>
      </w:tr>
      <w:tr>
        <w:trPr>
          <w:trHeight w:val="852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4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Комсомольская 6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 тепловой сети Ду325-30 м,Ду100-15м,Ду80-15м.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60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0,480</w:t>
            </w:r>
          </w:p>
        </w:tc>
      </w:tr>
      <w:tr>
        <w:trPr>
          <w:trHeight w:val="101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5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Заводская 6Б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 тепловой сети Ду150-64 м,Ду100-32м,Ду80-32м.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128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1,024</w:t>
            </w:r>
          </w:p>
        </w:tc>
      </w:tr>
      <w:tr>
        <w:trPr>
          <w:trHeight w:val="339" w:hRule="exact"/>
        </w:trPr>
        <w:tc>
          <w:tcPr>
            <w:tcW w:w="8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2"/>
                <w:rFonts w:eastAsia="Calibri" w:eastAsiaTheme="minorHAnsi"/>
                <w:sz w:val="22"/>
                <w:szCs w:val="22"/>
              </w:rPr>
              <w:t>Всего: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/>
              <w:fldChar w:fldCharType="begin"/>
            </w:r>
            <w:r>
              <w:rPr/>
              <w:instrText xml:space="preserve"> =SUM(ABOVE)</w:instrText>
            </w:r>
            <w:r>
              <w:rPr/>
              <w:fldChar w:fldCharType="separate"/>
            </w:r>
            <w:r>
              <w:rPr/>
              <w:t>0</w:t>
            </w:r>
            <w:r>
              <w:rPr/>
              <w:fldChar w:fldCharType="end"/>
            </w:r>
          </w:p>
        </w:tc>
      </w:tr>
      <w:tr>
        <w:trPr>
          <w:trHeight w:val="325" w:hRule="exact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с. Криуши</w:t>
            </w:r>
          </w:p>
        </w:tc>
      </w:tr>
      <w:tr>
        <w:trPr>
          <w:trHeight w:val="130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6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 и с. Криуши аварийные участки после весенних гидравлических испытанийДу325,273,219,150,100,89,76,57,32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и надземного трубопровода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715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7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с. Криуши, ул. Затон, д.46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сети отопления Ду 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552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8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с. Криуши, ул. Затон 37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сети отопления Ду 50(МП32)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420" w:hRule="exact"/>
        </w:trPr>
        <w:tc>
          <w:tcPr>
            <w:tcW w:w="8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color w:val="000000"/>
                <w:lang w:eastAsia="ru-RU" w:bidi="ru-RU"/>
              </w:rPr>
            </w:pPr>
            <w:r>
              <w:rPr>
                <w:rStyle w:val="22"/>
                <w:rFonts w:eastAsia="Calibri" w:eastAsiaTheme="minorHAnsi"/>
                <w:sz w:val="22"/>
                <w:szCs w:val="22"/>
              </w:rPr>
              <w:t>Всего: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/>
              <w:fldChar w:fldCharType="begin"/>
            </w:r>
            <w:r>
              <w:rPr/>
              <w:instrText xml:space="preserve"> =SUM(ABOVE)</w:instrText>
            </w:r>
            <w:r>
              <w:rPr/>
              <w:fldChar w:fldCharType="separate"/>
            </w:r>
            <w:r>
              <w:rPr/>
              <w:t>0</w:t>
            </w:r>
            <w:r>
              <w:rPr/>
              <w:fldChar w:fldCharType="end"/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34" w:name="_Toc3133892"/>
      <w:r>
        <w:rPr>
          <w:rFonts w:eastAsia="Times New Roman"/>
          <w:lang w:eastAsia="ru-RU"/>
        </w:rPr>
        <w:t>6.5. Предложения по строительству и реконструкции тепловых сетей для обеспечения нормативной надежности теплоснабжения потребителей.</w:t>
      </w:r>
      <w:bookmarkEnd w:id="34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мероприятий по строительству тепловых сетей для</w:t>
        <w:br/>
        <w:t>обеспечения нормативной надежности теплоснабжения в рамках схемы</w:t>
        <w:br/>
        <w:t>теплоснабжения не предусмотрена. Для обеспечения</w:t>
        <w:br/>
        <w:t>нормативных показателей надежности, на основании проведенного анализа,</w:t>
        <w:br/>
        <w:t>(Книга 10 «Оценка надежности теплоснабжения») разработаны рекомендации по</w:t>
        <w:br/>
        <w:t>перекладке тепловых сетей. Рекомендации по перекладке тепловых</w:t>
        <w:br/>
        <w:t>сетей, с целью обеспечения нормативной надёжности представлены в Книге 10.</w:t>
        <w:br/>
        <w:t>Часть тепловых сетей, на территории муниципального образования, выработала свой</w:t>
        <w:br/>
        <w:t>эксплуатационный ресурс, в результате чего не достигается нормативная</w:t>
        <w:br/>
        <w:t xml:space="preserve">надежность теплоснабжения потребителей. 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результате реализации рекомендованных мероприятий по реконструкции</w:t>
        <w:br/>
        <w:t>тепловых сетей будут достигнуты нормативные показатели надежности</w:t>
        <w:br/>
        <w:t>теплоснабжения.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Нормативные показатели безотказности тепловых сетей обеспечиваются</w:t>
        <w:br/>
        <w:t>следующими мероприятиями: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sym w:font="Symbol" w:char="f0b7"/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установлением предельно допустимой длины нерезервированных участков</w:t>
        <w:br/>
        <w:t>теплопроводов (тупиковых, радиальных, транзитных) до каждого потребителя</w:t>
        <w:br/>
        <w:t>или теплового пункта;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sym w:font="Symbol" w:char="f0b7"/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местом размещения резервных трубопроводных связей между</w:t>
        <w:br/>
        <w:t>радиальными теплопроводами;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sym w:font="Symbol" w:char="f0b7"/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достаточностью диаметров выбираемых при проектировании новых или</w:t>
        <w:br/>
        <w:t>реконструируемых существующих теплопроводов для обеспечения резервной</w:t>
        <w:br/>
        <w:t>подачи теплоты потребителям при отказах;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sym w:font="Symbol" w:char="f0b7"/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необходимость замены на конкретных участках конструкций тепловых</w:t>
        <w:br/>
        <w:t>сетей и теплопроводов на более надежные, а также обоснованность перехода на</w:t>
        <w:br/>
        <w:t>надземную или тоннельную прокладку;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sym w:font="Symbol" w:char="f0b7"/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очередность ремонтов и замен теплопроводов, частично или полностью</w:t>
        <w:br/>
        <w:t>утративших свой ресурс.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настоящее время рассматривается вариант замены тепловых сетей</w:t>
        <w:br/>
        <w:t>исчерпавших свой ресурс с точки зрения надежности теплоснабжения. Более</w:t>
        <w:br/>
        <w:t>подробно мероприятия рассмотрены ниже в соответствующей части настоящей</w:t>
        <w:br/>
        <w:t>книги.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2"/>
        <w:jc w:val="center"/>
        <w:rPr>
          <w:szCs w:val="28"/>
        </w:rPr>
      </w:pPr>
      <w:bookmarkStart w:id="35" w:name="_Toc3133893"/>
      <w:r>
        <w:rPr>
          <w:rFonts w:eastAsia="Times New Roman"/>
          <w:lang w:eastAsia="ru-RU"/>
        </w:rPr>
        <w:t>Раздел 7. Предложения по переводу открытых систем теплоснабжения (горячего водоснабжения) в закрытые системы горячего водоснабжения.</w:t>
      </w:r>
      <w:bookmarkEnd w:id="35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системы горячего водоснабжения в г. Новоульяновск на момент актуализации схемы теплоснабжения работают в закрытом режиме.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36" w:name="_Toc3133894"/>
      <w:r>
        <w:rPr>
          <w:rFonts w:eastAsia="Times New Roman"/>
          <w:lang w:eastAsia="ru-RU"/>
        </w:rPr>
        <w:t>Раздел 8. Перспективные топливные балансы.</w:t>
      </w:r>
      <w:bookmarkEnd w:id="36"/>
    </w:p>
    <w:p>
      <w:pPr>
        <w:pStyle w:val="Heading2"/>
        <w:rPr>
          <w:rFonts w:eastAsia="Times New Roman"/>
          <w:lang w:eastAsia="ru-RU"/>
        </w:rPr>
      </w:pPr>
      <w:bookmarkStart w:id="37" w:name="_Toc3133895"/>
      <w:r>
        <w:rPr>
          <w:rFonts w:eastAsia="Times New Roman"/>
          <w:lang w:eastAsia="ru-RU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этапе.</w:t>
      </w:r>
      <w:bookmarkEnd w:id="37"/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Перспективные топливные балансы разработаны в соответствии требованиями к схемам теплоснабжения. В результате разработки должны быть решены следующие задачи: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установлены перспективные объемы тепловой энергии, вырабатываемой на всех источниках тепловой энергии, обеспечивающие спрос на тепловую энергию и теплоноситель для потребителей, на собственные нужды котельных, на потери тепловой энергии при ее передаче по тепловым сетям.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установлены объемы топлива для обеспечения выработки тепловой энергии на каждом источнике тепловой энергии;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определены виды топлива, обеспечивающие выработку необходимой тепловой энергии;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установлены показатели эффективности использования топлива и предлагаемого к использованию теплоэнергетического оборудования.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Перспективное топливопотребление было рассчитано для варианта, принятого в соответствии с Книгой 5 «Мастер-план разработки схемы теплоснабжения муниципального образования».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расчета выработки тепловой энергии, потребления топлива на источниках тепловой энергии были приняты следующие условия: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для расчета перспективного отпуска и выработки тепловой энергии энергоисточниками принимались значения перспективного потребления тепловой энергии в зонах действия данных энергоисточников, приведенные в документе Обосновывающие материалы к схеме теплоснабжения муниципального образования на период до 2030 года.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перспективные значения потерь тепловой энергии в сетях и затрат тепла на собственные нужды энергоисточников принимались с учетом существующих значений, плановых показателей организаций, а также с учетом реализации предложенных мероприятий по реконструкции и новому строительству энергоисточников, тепловых сетей и теплосетевых объектов;</w:t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Таблица 18.1.</w:t>
      </w:r>
    </w:p>
    <w:tbl>
      <w:tblPr>
        <w:tblStyle w:val="af7"/>
        <w:tblW w:w="101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44"/>
        <w:gridCol w:w="1040"/>
        <w:gridCol w:w="1052"/>
        <w:gridCol w:w="1053"/>
        <w:gridCol w:w="1051"/>
        <w:gridCol w:w="1051"/>
        <w:gridCol w:w="1554"/>
        <w:gridCol w:w="1548"/>
      </w:tblGrid>
      <w:tr>
        <w:trPr>
          <w:trHeight w:val="960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Наименование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Совр. сост. 2023 г.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2024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2025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2026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2027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2028</w:t>
            </w: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-202</w:t>
            </w: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9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20</w:t>
            </w: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2</w:t>
            </w: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9</w:t>
            </w: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en-US" w:eastAsia="en-US" w:bidi="ar-SA"/>
              </w:rPr>
              <w:t>-2030</w:t>
            </w:r>
          </w:p>
        </w:tc>
      </w:tr>
      <w:tr>
        <w:trPr>
          <w:trHeight w:val="330" w:hRule="atLeast"/>
        </w:trPr>
        <w:tc>
          <w:tcPr>
            <w:tcW w:w="10193" w:type="dxa"/>
            <w:gridSpan w:val="8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Котельная №1 г. Новоульяновск, пер. Коммунаров</w:t>
            </w:r>
          </w:p>
        </w:tc>
      </w:tr>
      <w:tr>
        <w:trPr>
          <w:trHeight w:val="610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топлива, нм3/час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0,54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0,54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0,45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0,40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0,37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0,37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0,33</w:t>
            </w:r>
          </w:p>
        </w:tc>
      </w:tr>
      <w:tr>
        <w:trPr>
          <w:trHeight w:val="1262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Годовая потребность в натуральном топливе, тыс.нм3/год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2796,52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2796,4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2533,56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2301,74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2301,74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2093,9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1920,75</w:t>
            </w:r>
          </w:p>
        </w:tc>
      </w:tr>
      <w:tr>
        <w:trPr>
          <w:trHeight w:val="330" w:hRule="atLeast"/>
        </w:trPr>
        <w:tc>
          <w:tcPr>
            <w:tcW w:w="10193" w:type="dxa"/>
            <w:gridSpan w:val="8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Котельная №2 г. Новоульяновск, ул. Ленина,15Б</w:t>
            </w:r>
          </w:p>
        </w:tc>
      </w:tr>
      <w:tr>
        <w:trPr>
          <w:trHeight w:val="647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топлива, нм3/час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1,22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1,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1,02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0,93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0,84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0,84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2"/>
                <w:szCs w:val="22"/>
                <w:lang w:val="ru-RU" w:eastAsia="en-US" w:bidi="ar-SA"/>
              </w:rPr>
              <w:t>0,77</w:t>
            </w:r>
          </w:p>
        </w:tc>
      </w:tr>
      <w:tr>
        <w:trPr>
          <w:trHeight w:val="573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Годовая потребность в натуральном топливе, тыс.нм3/год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6117,35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6117,35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5542,32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5035,20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4574,48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4574,41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4196,10</w:t>
            </w:r>
          </w:p>
        </w:tc>
      </w:tr>
      <w:tr>
        <w:trPr>
          <w:trHeight w:val="330" w:hRule="atLeast"/>
        </w:trPr>
        <w:tc>
          <w:tcPr>
            <w:tcW w:w="10193" w:type="dxa"/>
            <w:gridSpan w:val="8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Котельная г. Новоульяновск, ул. Ленина,15а (ГВС)/ЦТП-2</w:t>
            </w:r>
          </w:p>
        </w:tc>
      </w:tr>
      <w:tr>
        <w:trPr>
          <w:trHeight w:val="665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топлива, нм3/час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0,63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0,63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0,57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0,52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0,47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0,47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0,43</w:t>
            </w:r>
          </w:p>
        </w:tc>
      </w:tr>
      <w:tr>
        <w:trPr>
          <w:trHeight w:val="746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Годовая потребность в натуральном топливе, тыс.нм3/год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3214,97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3214,97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2912,76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2646,25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2404,11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2404,11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2205,29</w:t>
            </w:r>
          </w:p>
        </w:tc>
      </w:tr>
      <w:tr>
        <w:trPr>
          <w:trHeight w:val="630" w:hRule="atLeast"/>
        </w:trPr>
        <w:tc>
          <w:tcPr>
            <w:tcW w:w="10193" w:type="dxa"/>
            <w:gridSpan w:val="8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</w:tr>
      <w:tr>
        <w:trPr>
          <w:trHeight w:val="533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Максимальный часовой расход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топлива, нм3/час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0,21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0,21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0,19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0,17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0,16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0,16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0,14</w:t>
            </w:r>
          </w:p>
        </w:tc>
      </w:tr>
      <w:tr>
        <w:trPr>
          <w:trHeight w:val="898" w:hRule="atLeast"/>
        </w:trPr>
        <w:tc>
          <w:tcPr>
            <w:tcW w:w="184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Годовая потребность в натуральном топливе, тыс.нм3/год</w:t>
            </w:r>
          </w:p>
        </w:tc>
        <w:tc>
          <w:tcPr>
            <w:tcW w:w="104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1030,83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1030,83</w:t>
            </w:r>
          </w:p>
        </w:tc>
        <w:tc>
          <w:tcPr>
            <w:tcW w:w="1053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933,93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848,48</w:t>
            </w:r>
          </w:p>
        </w:tc>
        <w:tc>
          <w:tcPr>
            <w:tcW w:w="1051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770,84</w:t>
            </w:r>
          </w:p>
        </w:tc>
        <w:tc>
          <w:tcPr>
            <w:tcW w:w="155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770,84</w:t>
            </w:r>
          </w:p>
        </w:tc>
        <w:tc>
          <w:tcPr>
            <w:tcW w:w="1548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707,09</w:t>
            </w:r>
          </w:p>
        </w:tc>
      </w:tr>
    </w:tbl>
    <w:p>
      <w:pPr>
        <w:pStyle w:val="Heading2"/>
        <w:rPr/>
      </w:pPr>
      <w:r>
        <w:rPr/>
      </w:r>
    </w:p>
    <w:p>
      <w:pPr>
        <w:pStyle w:val="Normal"/>
        <w:spacing w:lineRule="auto" w:line="240" w:before="0" w:after="0"/>
        <w:ind w:firstLine="284"/>
        <w:jc w:val="both"/>
        <w:rPr>
          <w:rFonts w:ascii="Times New Roman" w:hAnsi="Times New Roman"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38" w:name="_Toc3133896"/>
      <w:r>
        <w:rPr>
          <w:rFonts w:eastAsia="Times New Roman"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38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Основным топливом для всех рассматриваемых котельных, не осуществляющих регулируемые виды деятельности, в области теплоснабжения является природный газ.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39" w:name="_Toc3133897"/>
      <w:r>
        <w:rPr>
          <w:rFonts w:eastAsia="Times New Roman"/>
          <w:lang w:eastAsia="ru-RU"/>
        </w:rPr>
        <w:t>Раздел 9. Инвестиции в строительство, реконструкцию и техническое перевооружение.</w:t>
      </w:r>
      <w:bookmarkEnd w:id="39"/>
    </w:p>
    <w:p>
      <w:pPr>
        <w:pStyle w:val="Heading2"/>
        <w:rPr>
          <w:rFonts w:eastAsia="Times New Roman"/>
          <w:lang w:eastAsia="ru-RU"/>
        </w:rPr>
      </w:pPr>
      <w:bookmarkStart w:id="40" w:name="_Toc3133898"/>
      <w:r>
        <w:rPr>
          <w:rFonts w:eastAsia="Times New Roman"/>
          <w:lang w:eastAsia="ru-RU"/>
        </w:rPr>
        <w:t>9.1.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</w:r>
      <w:bookmarkEnd w:id="40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Строительство новых источников тепловой энергии не планируется.</w:t>
      </w:r>
    </w:p>
    <w:p>
      <w:pPr>
        <w:pStyle w:val="Heading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41" w:name="_Toc3133899"/>
      <w:r>
        <w:rPr>
          <w:rFonts w:eastAsia="Times New Roman"/>
          <w:lang w:eastAsia="ru-RU"/>
        </w:rPr>
        <w:t>9.2.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</w:t>
      </w:r>
      <w:bookmarkEnd w:id="41"/>
      <w:r>
        <w:rPr>
          <w:rFonts w:eastAsia="Times New Roman"/>
          <w:lang w:eastAsia="ru-RU"/>
        </w:rPr>
        <w:t xml:space="preserve"> </w:t>
      </w:r>
    </w:p>
    <w:p>
      <w:pPr>
        <w:pStyle w:val="Norma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Таблица 9.2 – Сводная стоимость финансовых потребностей на проведение мероприятий по реконструкции тепловых сетей, подлежащих замене в связи с исчерпанием эксплуатационного ресурса.</w:t>
      </w:r>
    </w:p>
    <w:tbl>
      <w:tblPr>
        <w:tblW w:w="9918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641"/>
        <w:gridCol w:w="3324"/>
        <w:gridCol w:w="2521"/>
        <w:gridCol w:w="804"/>
        <w:gridCol w:w="955"/>
        <w:gridCol w:w="1672"/>
      </w:tblGrid>
      <w:tr>
        <w:trPr>
          <w:trHeight w:val="518" w:hRule="exact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п/п</w:t>
            </w:r>
          </w:p>
        </w:tc>
        <w:tc>
          <w:tcPr>
            <w:tcW w:w="3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Адрес (наименование населённого пункта, улицы, № дома</w:t>
            </w:r>
          </w:p>
        </w:tc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Вид работ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Ед. изм.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Объём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работ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2"/>
                <w:rFonts w:eastAsia="Calibri" w:eastAsiaTheme="minorHAnsi"/>
                <w:bCs w:val="false"/>
                <w:sz w:val="22"/>
                <w:szCs w:val="22"/>
              </w:rPr>
              <w:t>Стоимость работ (млн. руб.)</w:t>
            </w:r>
          </w:p>
        </w:tc>
      </w:tr>
      <w:tr>
        <w:trPr>
          <w:trHeight w:val="241" w:hRule="exact"/>
        </w:trPr>
        <w:tc>
          <w:tcPr>
            <w:tcW w:w="6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3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5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274" w:hRule="exact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г. Новоульяновск</w:t>
            </w:r>
          </w:p>
        </w:tc>
      </w:tr>
      <w:tr>
        <w:trPr>
          <w:trHeight w:val="111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Советская 12-14/Матросова(от опуска в землю)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тепловой сети Ду325-140,  ГВС Ду 100-120, Ду 76-120м.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480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3,840</w:t>
            </w:r>
          </w:p>
        </w:tc>
      </w:tr>
      <w:tr>
        <w:trPr>
          <w:trHeight w:val="103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Советская 7-Советская 1 ( квартальная тепловая сеть 4 квартала)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надземной сети отопления Ду325-60 м,Ду100-145 м,Ду80-145м.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580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4,640</w:t>
            </w:r>
          </w:p>
        </w:tc>
      </w:tr>
      <w:tr>
        <w:trPr>
          <w:trHeight w:val="1414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3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 сети отопления рассечные запорные устройства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запорной арматуры на сетях отопления г.Новоульяновск и с.Криуши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шт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0,080</w:t>
            </w:r>
          </w:p>
        </w:tc>
      </w:tr>
      <w:tr>
        <w:trPr>
          <w:trHeight w:val="852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4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Комсомольская 6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 тепловой сети Ду325-30 м,Ду100-15м,Ду80-15м.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60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0,480</w:t>
            </w:r>
          </w:p>
        </w:tc>
      </w:tr>
      <w:tr>
        <w:trPr>
          <w:trHeight w:val="101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5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ул. Заводская 6Б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 тепловой сети Ду150-64 м,Ду100-32м,Ду80-32м.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128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1,024</w:t>
            </w:r>
          </w:p>
        </w:tc>
      </w:tr>
      <w:tr>
        <w:trPr>
          <w:trHeight w:val="339" w:hRule="exact"/>
        </w:trPr>
        <w:tc>
          <w:tcPr>
            <w:tcW w:w="8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2"/>
                <w:rFonts w:eastAsia="Calibri" w:eastAsiaTheme="minorHAnsi"/>
                <w:sz w:val="22"/>
                <w:szCs w:val="22"/>
              </w:rPr>
              <w:t>Всего: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/>
              <w:fldChar w:fldCharType="begin"/>
            </w:r>
            <w:r>
              <w:rPr/>
              <w:instrText xml:space="preserve"> =SUM(ABOVE)</w:instrText>
            </w:r>
            <w:r>
              <w:rPr/>
              <w:fldChar w:fldCharType="separate"/>
            </w:r>
            <w:r>
              <w:rPr/>
              <w:t>0</w:t>
            </w:r>
            <w:r>
              <w:rPr/>
              <w:fldChar w:fldCharType="end"/>
            </w:r>
          </w:p>
        </w:tc>
      </w:tr>
      <w:tr>
        <w:trPr>
          <w:trHeight w:val="325" w:hRule="exact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с. Криуши</w:t>
            </w:r>
          </w:p>
        </w:tc>
      </w:tr>
      <w:tr>
        <w:trPr>
          <w:trHeight w:val="1300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6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 и с. Криуши аварийные участки после весенних гидравлических испытанийДу325,273,219,150,100,89,76,57,32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и надземного трубопровода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715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7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с. Криуши, ул. Затон, д.46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сети отопления Ду 80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552" w:hRule="exac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8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г. Новоульяновск, с. Криуши, ул. Затон 37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Замена подземной сети отопления Ду 50(МП32)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b w:val="false"/>
                <w:bCs w:val="false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b w:val="false"/>
                <w:sz w:val="22"/>
                <w:szCs w:val="2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21"/>
                <w:rFonts w:eastAsia="Calibri" w:eastAsiaTheme="minorHAnsi"/>
                <w:sz w:val="22"/>
                <w:szCs w:val="22"/>
              </w:rPr>
            </w:pPr>
            <w:r>
              <w:rPr>
                <w:rStyle w:val="21"/>
                <w:rFonts w:eastAsia="Calibri" w:eastAsiaTheme="minorHAnsi"/>
                <w:sz w:val="22"/>
                <w:szCs w:val="22"/>
              </w:rPr>
              <w:t>0,800</w:t>
            </w:r>
          </w:p>
        </w:tc>
      </w:tr>
      <w:tr>
        <w:trPr>
          <w:trHeight w:val="420" w:hRule="exact"/>
        </w:trPr>
        <w:tc>
          <w:tcPr>
            <w:tcW w:w="8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color w:val="000000"/>
                <w:lang w:eastAsia="ru-RU" w:bidi="ru-RU"/>
              </w:rPr>
            </w:pPr>
            <w:r>
              <w:rPr>
                <w:rStyle w:val="22"/>
                <w:rFonts w:eastAsia="Calibri" w:eastAsiaTheme="minorHAnsi"/>
                <w:sz w:val="22"/>
                <w:szCs w:val="22"/>
              </w:rPr>
              <w:t>Всего: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/>
              <w:fldChar w:fldCharType="begin"/>
            </w:r>
            <w:r>
              <w:rPr/>
              <w:instrText xml:space="preserve"> =SUM(ABOVE)</w:instrText>
            </w:r>
            <w:r>
              <w:rPr/>
              <w:fldChar w:fldCharType="separate"/>
            </w:r>
            <w:r>
              <w:rPr/>
              <w:t>0</w:t>
            </w:r>
            <w:r>
              <w:rPr/>
              <w:fldChar w:fldCharType="end"/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42" w:name="_Toc3133900"/>
      <w:r>
        <w:rPr>
          <w:rFonts w:eastAsia="Times New Roman"/>
          <w:lang w:eastAsia="ru-RU"/>
        </w:rPr>
        <w:t>9.3.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этапе.</w:t>
      </w:r>
      <w:bookmarkEnd w:id="42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Изменений температурного графика и гидравлического режима работы системы теплоснабжения не предусматривает инвестиций в строительство или реконструкцию.</w:t>
      </w:r>
    </w:p>
    <w:p>
      <w:pPr>
        <w:pStyle w:val="Heading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43" w:name="_Toc3133901"/>
      <w:r>
        <w:rPr>
          <w:rFonts w:eastAsia="Times New Roman"/>
          <w:lang w:eastAsia="ru-RU"/>
        </w:rPr>
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</w:r>
      <w:bookmarkEnd w:id="43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системы горячего водоснабжения в г. Новоульяновск на момент актуализации схемы теплоснабжения работают в закрытом режиме.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44" w:name="_Toc3133902"/>
      <w:r>
        <w:rPr>
          <w:rFonts w:eastAsia="Times New Roman"/>
          <w:lang w:eastAsia="ru-RU"/>
        </w:rPr>
        <w:t>Раздел 10. Решение об определении единой теплоснабжающей организации.</w:t>
      </w:r>
      <w:bookmarkEnd w:id="44"/>
    </w:p>
    <w:p>
      <w:pPr>
        <w:pStyle w:val="Heading2"/>
        <w:rPr>
          <w:rFonts w:eastAsia="Times New Roman"/>
          <w:lang w:eastAsia="ru-RU"/>
        </w:rPr>
      </w:pPr>
      <w:bookmarkStart w:id="45" w:name="_Toc3133903"/>
      <w:r>
        <w:rPr>
          <w:rFonts w:eastAsia="Times New Roman"/>
          <w:lang w:eastAsia="ru-RU"/>
        </w:rPr>
        <w:t>10.1. Реестр зон деятельности единой теплоснабжающей организации.</w:t>
      </w:r>
      <w:bookmarkEnd w:id="45"/>
    </w:p>
    <w:tbl>
      <w:tblPr>
        <w:tblW w:w="9915" w:type="dxa"/>
        <w:jc w:val="left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471"/>
        <w:gridCol w:w="2670"/>
        <w:gridCol w:w="2279"/>
        <w:gridCol w:w="2327"/>
        <w:gridCol w:w="2168"/>
      </w:tblGrid>
      <w:tr>
        <w:trPr>
          <w:trHeight w:val="1413" w:hRule="atLeast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№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п/п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Номер котельной,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адрес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теплоснабжения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Теплоснабжающая организация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Единая теплоснабжающая организация</w:t>
            </w:r>
          </w:p>
        </w:tc>
      </w:tr>
      <w:tr>
        <w:trPr/>
        <w:tc>
          <w:tcPr>
            <w:tcW w:w="9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b/>
              </w:rPr>
              <w:t>г. Новоульяновск</w:t>
            </w:r>
          </w:p>
        </w:tc>
      </w:tr>
      <w:tr>
        <w:trPr/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№1 г. Новоульяновск, пер. Коммунаров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ОГКП «Корпорация развития коммунального комплекса Ульяновской области»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ОГКП «Корпорация развития коммунального комплекса Ульяновской области»</w:t>
            </w:r>
          </w:p>
        </w:tc>
      </w:tr>
      <w:tr>
        <w:trPr/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№2 г. Новоульяновск, ул. Ленина,15Б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3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</w:r>
          </w:p>
        </w:tc>
        <w:tc>
          <w:tcPr>
            <w:tcW w:w="2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г. Новоульяновск, ул. Ленина,15а (ГВС)/ЦТП-2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ГВС</w:t>
            </w:r>
          </w:p>
        </w:tc>
        <w:tc>
          <w:tcPr>
            <w:tcW w:w="23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</w:r>
          </w:p>
        </w:tc>
        <w:tc>
          <w:tcPr>
            <w:tcW w:w="21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>
                <w:b/>
              </w:rPr>
            </w:pPr>
            <w:r>
              <w:rPr>
                <w:b/>
              </w:rPr>
              <w:t>с. Криуши</w:t>
            </w:r>
          </w:p>
        </w:tc>
      </w:tr>
      <w:tr>
        <w:trPr/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11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ОГКП «Корпорация развития коммунального комплекса Ульяновской области»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ОГКП «Корпорация развития коммунального комплекса Ульяновской области»</w:t>
            </w:r>
          </w:p>
        </w:tc>
      </w:tr>
    </w:tbl>
    <w:p>
      <w:pPr>
        <w:pStyle w:val="Heading2"/>
        <w:rPr>
          <w:rFonts w:eastAsia="Times New Roman"/>
          <w:lang w:eastAsia="ru-RU"/>
        </w:rPr>
      </w:pPr>
      <w:bookmarkStart w:id="46" w:name="_Toc3133904"/>
      <w:r>
        <w:rPr>
          <w:rFonts w:eastAsia="Times New Roman"/>
          <w:lang w:eastAsia="ru-RU"/>
        </w:rPr>
        <w:t>10.2. Основания, в том числе критерии, в соответствии с которыми теплоснабжающая организация определена единой теплоснабжающей организацией.</w:t>
      </w:r>
      <w:bookmarkEnd w:id="46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Решение по установлению единой теплоснабжающей организации осуществляется на основании Постановления Правительства РФ от 08.08.2012 г. № 808 «Об организации тепло</w:t>
        <w:softHyphen/>
        <w:t>снабжения в РФ и внесении изменений в некоторые акты Правительства РФ».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соответствии с Постановлением - границы зоны (зон) деятельности единой тепло</w:t>
        <w:softHyphen/>
        <w:t>снабжающей организации (организаций) определены границами системы теплоснабжения.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случае если на территории поселения, городского округа существуют несколько си</w:t>
        <w:softHyphen/>
        <w:t>стем теплоснабжения, уполномоченные органы вправе: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определить единую теплоснабжающую организацию (организации) в каждой из си</w:t>
        <w:softHyphen/>
        <w:t>стем теплоснабжения, расположенных в границах поселения, городского округа;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определить на несколько систем теплоснабжения единую теплоснабжающую орга</w:t>
        <w:softHyphen/>
        <w:t>низацию.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Для присвоения организации статуса единой теплоснабжающей организации на терри</w:t>
        <w:softHyphen/>
        <w:t>тории поселения, городского округа лица, владеющие на праве собственности или ином за</w:t>
        <w:softHyphen/>
        <w:t>конном основании источниками тепловой энергии и (или) тепловыми сетями, подают в упол</w:t>
        <w:softHyphen/>
        <w:t>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</w:t>
        <w:softHyphen/>
        <w:t>ния заявку на присвоение организации статуса единой теплоснабжающей организации с ука</w:t>
        <w:softHyphen/>
        <w:t>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</w:t>
        <w:softHyphen/>
        <w:t>тии.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47" w:name="_Toc3133905"/>
      <w:r>
        <w:rPr>
          <w:rFonts w:eastAsia="Times New Roman"/>
          <w:highlight w:val="yellow"/>
          <w:lang w:eastAsia="ru-RU"/>
        </w:rPr>
        <w:t>10.3. Информацию о поданных теплоснабжающими организациями заявках на присвоение статуса единой теплоснабжающей организации</w:t>
      </w:r>
      <w:r>
        <w:rPr>
          <w:rFonts w:eastAsia="Times New Roman"/>
          <w:lang w:eastAsia="ru-RU"/>
        </w:rPr>
        <w:t>.</w:t>
      </w:r>
      <w:bookmarkEnd w:id="47"/>
    </w:p>
    <w:p>
      <w:pPr>
        <w:pStyle w:val="Normal"/>
        <w:jc w:val="center"/>
        <w:rPr>
          <w:rFonts w:eastAsia="Times New Roman"/>
          <w:lang w:eastAsia="ru-RU"/>
        </w:rPr>
      </w:pPr>
      <w:r>
        <w:rPr/>
        <w:drawing>
          <wp:inline distT="0" distB="0" distL="0" distR="0">
            <wp:extent cx="6003925" cy="8258175"/>
            <wp:effectExtent l="0" t="0" r="0" b="0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rPr>
          <w:rFonts w:eastAsia="Times New Roman"/>
          <w:lang w:eastAsia="ru-RU"/>
        </w:rPr>
      </w:pPr>
      <w:bookmarkStart w:id="48" w:name="_Toc3133906"/>
      <w:r>
        <w:rPr>
          <w:rFonts w:eastAsia="Times New Roman"/>
          <w:lang w:eastAsia="ru-RU"/>
        </w:rPr>
        <w:t>10.4.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  <w:bookmarkEnd w:id="48"/>
    </w:p>
    <w:tbl>
      <w:tblPr>
        <w:tblW w:w="9013" w:type="dxa"/>
        <w:jc w:val="center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firstRow="0" w:noVBand="0" w:lastRow="0" w:firstColumn="0" w:lastColumn="0" w:noHBand="0" w:val="0000"/>
      </w:tblPr>
      <w:tblGrid>
        <w:gridCol w:w="474"/>
        <w:gridCol w:w="3089"/>
        <w:gridCol w:w="2831"/>
        <w:gridCol w:w="2618"/>
      </w:tblGrid>
      <w:tr>
        <w:trPr>
          <w:trHeight w:val="1413" w:hRule="atLeast"/>
        </w:trPr>
        <w:tc>
          <w:tcPr>
            <w:tcW w:w="4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№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п/п</w:t>
            </w:r>
          </w:p>
        </w:tc>
        <w:tc>
          <w:tcPr>
            <w:tcW w:w="30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Номер котельной,</w:t>
            </w:r>
          </w:p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адрес</w:t>
            </w:r>
          </w:p>
        </w:tc>
        <w:tc>
          <w:tcPr>
            <w:tcW w:w="28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теплоснабжения</w:t>
            </w:r>
          </w:p>
        </w:tc>
        <w:tc>
          <w:tcPr>
            <w:tcW w:w="2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Теплоснабжающая организация</w:t>
            </w:r>
          </w:p>
        </w:tc>
      </w:tr>
      <w:tr>
        <w:trPr/>
        <w:tc>
          <w:tcPr>
            <w:tcW w:w="901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>
                <w:b/>
              </w:rPr>
              <w:t>г. Новоульяновск</w:t>
            </w:r>
          </w:p>
        </w:tc>
      </w:tr>
      <w:tr>
        <w:trPr/>
        <w:tc>
          <w:tcPr>
            <w:tcW w:w="4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30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№1 г. Новоульяновск, пер. Коммунаров</w:t>
            </w:r>
          </w:p>
        </w:tc>
        <w:tc>
          <w:tcPr>
            <w:tcW w:w="28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61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ОГКП «Корпорация развития коммунального комплекса Ульяновской области»</w:t>
            </w:r>
          </w:p>
        </w:tc>
      </w:tr>
      <w:tr>
        <w:trPr/>
        <w:tc>
          <w:tcPr>
            <w:tcW w:w="4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2</w:t>
            </w:r>
          </w:p>
        </w:tc>
        <w:tc>
          <w:tcPr>
            <w:tcW w:w="30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№2 г. Новоульяновск, ул. Ленина,15Б</w:t>
            </w:r>
          </w:p>
        </w:tc>
        <w:tc>
          <w:tcPr>
            <w:tcW w:w="28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618" w:type="dxa"/>
            <w:vMerge w:val="continue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3</w:t>
            </w:r>
          </w:p>
        </w:tc>
        <w:tc>
          <w:tcPr>
            <w:tcW w:w="30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г. Новоульяновск, ул. Ленина,15а (ГВС)/ЦТП-2</w:t>
            </w:r>
          </w:p>
        </w:tc>
        <w:tc>
          <w:tcPr>
            <w:tcW w:w="28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ГВС</w:t>
            </w:r>
          </w:p>
        </w:tc>
        <w:tc>
          <w:tcPr>
            <w:tcW w:w="2618" w:type="dxa"/>
            <w:vMerge w:val="continue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</w:r>
          </w:p>
        </w:tc>
      </w:tr>
      <w:tr>
        <w:trPr>
          <w:trHeight w:val="206" w:hRule="atLeast"/>
        </w:trPr>
        <w:tc>
          <w:tcPr>
            <w:tcW w:w="901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eastAsia="ru-RU"/>
              </w:rPr>
              <w:t>с. Криуши</w:t>
            </w:r>
          </w:p>
        </w:tc>
      </w:tr>
      <w:tr>
        <w:trPr/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1</w:t>
            </w:r>
          </w:p>
        </w:tc>
        <w:tc>
          <w:tcPr>
            <w:tcW w:w="30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Котельная  ОГКП «Корпорация развития коммунального комплекса Ульяновской области» с. Криуши</w:t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NormalWeb"/>
              <w:widowControl w:val="false"/>
              <w:spacing w:beforeAutospacing="0" w:before="0" w:after="0"/>
              <w:jc w:val="center"/>
              <w:rPr/>
            </w:pPr>
            <w:r>
              <w:rPr/>
              <w:t>Система отопления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ОГКП «Корпорация развития коммунального комплекса Ульяновской области»</w:t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49" w:name="_Toc3133907"/>
      <w:r>
        <w:rPr>
          <w:rFonts w:eastAsia="Times New Roman"/>
          <w:lang w:eastAsia="ru-RU"/>
        </w:rPr>
        <w:t>Раздел 11. Решения о распределении тепловой нагрузки между источниками тепловой энергии.</w:t>
      </w:r>
      <w:bookmarkEnd w:id="49"/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Ввиду больших расстояний между тепловыми источниками, и отсутствием резервов тепловой мощности перераспределение тепловой нагрузки из зон с дефицитом тепловой мощности в зоны с избытком тепловой мощности не целесообразно.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50" w:name="_Toc3133908"/>
      <w:r>
        <w:rPr>
          <w:rFonts w:eastAsia="Times New Roman"/>
          <w:lang w:eastAsia="ru-RU"/>
        </w:rPr>
        <w:t>Раздел 12. Решения по бесхозяйным тепловым сетям.</w:t>
      </w:r>
      <w:bookmarkEnd w:id="50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51" w:name="_Hlk2757501"/>
      <w:r>
        <w:rPr>
          <w:rFonts w:cs="Times New Roman" w:ascii="Times New Roman" w:hAnsi="Times New Roman"/>
          <w:sz w:val="28"/>
          <w:szCs w:val="28"/>
          <w:lang w:eastAsia="ru-RU"/>
        </w:rPr>
        <w:t>Безхозяйные тепловые сети на территории МО «Город Новоульяновск» отсутствуют</w:t>
      </w:r>
      <w:bookmarkEnd w:id="51"/>
      <w:r>
        <w:rPr>
          <w:rFonts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52" w:name="_Toc3133909"/>
      <w:r>
        <w:rPr>
          <w:rFonts w:eastAsia="Times New Roman"/>
          <w:lang w:eastAsia="ru-RU"/>
        </w:rPr>
        <w:t>Раздел 13. Синхронизация схемы теплоснабжения со схемой газоснабжения и газификации поселения, схемой и программой развития электроэнергетики, а также со схемой водоснабжения и водоотведения поселения.</w:t>
      </w:r>
      <w:bookmarkEnd w:id="52"/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Схема теплоснабжения не синхронизируется со схемами газоснабжения, программой развития электроэнергетики, а также со схемы водоснабжения и водоотведения поселения, ввиду их отсутствия.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ing2"/>
        <w:jc w:val="center"/>
        <w:rPr>
          <w:rFonts w:eastAsia="Times New Roman"/>
          <w:lang w:eastAsia="ru-RU"/>
        </w:rPr>
      </w:pPr>
      <w:bookmarkStart w:id="53" w:name="_Toc3133910"/>
      <w:r>
        <w:rPr>
          <w:rFonts w:eastAsia="Times New Roman"/>
          <w:lang w:eastAsia="ru-RU"/>
        </w:rPr>
        <w:t>Раздел 14. Индикаторы развития систем теплоснабжения поселения, городского округа, города федерального значения.</w:t>
      </w:r>
      <w:bookmarkEnd w:id="53"/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bookmarkStart w:id="54" w:name="i71681"/>
      <w:bookmarkEnd w:id="54"/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Таблица 14.1 - Индикаторы развития систем теплоснабжения г. Новоульяновск</w:t>
      </w:r>
    </w:p>
    <w:tbl>
      <w:tblPr>
        <w:tblW w:w="10348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426"/>
        <w:gridCol w:w="6388"/>
        <w:gridCol w:w="991"/>
        <w:gridCol w:w="1277"/>
        <w:gridCol w:w="1266"/>
      </w:tblGrid>
      <w:tr>
        <w:trPr>
          <w:trHeight w:val="93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Индикаторы развития систем теплоснабжения поселения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Сущ. поло</w:t>
              <w:softHyphen/>
              <w:t>жение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Ожидаемые показатели (2030 год)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</w:t>
              <w:softHyphen/>
              <w:t>зультате технологических нарушений на тепловых сетях;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</w:t>
              <w:softHyphen/>
              <w:t>зультате технологических нарушений на источниках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>
        <w:trPr>
          <w:trHeight w:val="69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удельный расход условного топлива на единицу тепловой энергии, от</w:t>
              <w:softHyphen/>
              <w:t>пускаемой с коллекторов источников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кг.у.т./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1154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618,54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величины технологических потерь тепловой энергии, тепло</w:t>
              <w:softHyphen/>
              <w:t>носителя к материальной характеристике тепловой сети;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Гкал / м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0,00073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0,00041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коэффициент использования установленной тепловой мощности;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удельная материальная характеристика тепловых сетей, приведенная к расчетной тепловой нагрузке;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/Гкал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208,7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147,88</w:t>
            </w:r>
          </w:p>
        </w:tc>
      </w:tr>
      <w:tr>
        <w:trPr>
          <w:trHeight w:val="931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</w:t>
              <w:softHyphen/>
              <w:t>агрегатов, к общей величине выработанной тепловой энергии в границах поселения, городского округа);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удельный расход условного топлива на отпуск электрической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кг.у.т./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701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</w:t>
              <w:softHyphen/>
              <w:t>работки электрической и тепловой энергии);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доля отпуска тепловой энергии, осуществляемого потребителям по при</w:t>
              <w:softHyphen/>
              <w:t>борам учета, в общем объеме отпущенной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>
        <w:trPr>
          <w:trHeight w:val="46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средневзвешенный (по материальной характеристике) срок эксплуата</w:t>
              <w:softHyphen/>
              <w:t>ции тепловых сетей (для каждой системы теплоснабжения);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>
        <w:trPr>
          <w:trHeight w:val="1392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материальной характеристики тепловых сетей, реконструи</w:t>
              <w:softHyphen/>
              <w:t>рованных за год, к общей материальной характеристике тепловых сетей (фактическое значение за отчетный период и прогноз изменения при ре</w:t>
              <w:softHyphen/>
              <w:t>ализации проектов, указанных в утвержденной схеме теплоснабжения) (для каждой системы теплоснабжения, а также для поселения, город</w:t>
              <w:softHyphen/>
              <w:t>ского округа);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>
        <w:trPr>
          <w:trHeight w:val="1402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установленной тепловой мощности оборудования источни</w:t>
              <w:softHyphen/>
              <w:t>ков тепловой энергии, реконструированного за год, к общей установлен</w:t>
              <w:softHyphen/>
              <w:t>ной тепловой мощности источников тепловой энергии (фактическое значение за отчетный период и прогноз изменения при реализации про</w:t>
              <w:softHyphen/>
              <w:t>ектов, указанных в утвержденной схеме теплоснабжения) (для поселе</w:t>
              <w:softHyphen/>
              <w:t>ния, городского округа).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Таблица 14.2 - Индикаторы развития систем теплоснабжения с. Криуши</w:t>
      </w:r>
    </w:p>
    <w:tbl>
      <w:tblPr>
        <w:tblW w:w="10348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426"/>
        <w:gridCol w:w="6388"/>
        <w:gridCol w:w="991"/>
        <w:gridCol w:w="1277"/>
        <w:gridCol w:w="1266"/>
      </w:tblGrid>
      <w:tr>
        <w:trPr>
          <w:trHeight w:val="93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Индикаторы развития систем теплоснабжения поселения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Сущ. поло</w:t>
              <w:softHyphen/>
              <w:t>жение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Ожидаемые показатели (2030 год)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</w:t>
              <w:softHyphen/>
              <w:t>зультате технологических нарушений на тепловых сетях;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</w:t>
              <w:softHyphen/>
              <w:t>зультате технологических нарушений на источниках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>
        <w:trPr>
          <w:trHeight w:val="69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удельный расход условного топлива на единицу тепловой энергии, от</w:t>
              <w:softHyphen/>
              <w:t>пускаемой с коллекторов источников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кг.у.т./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148,78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121,46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величины технологических потерь тепловой энергии, тепло</w:t>
              <w:softHyphen/>
              <w:t>носителя к материальной характеристике тепловой сети;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Гкал / м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0,00061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0,00043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коэффициент использования установленной тепловой мощности;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0,87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удельная материальная характеристика тепловых сетей, приведенная к расчетной тепловой нагрузке;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/Гкал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159,29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170,25</w:t>
            </w:r>
          </w:p>
        </w:tc>
      </w:tr>
      <w:tr>
        <w:trPr>
          <w:trHeight w:val="931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</w:t>
              <w:softHyphen/>
              <w:t>агрегатов, к общей величине выработанной тепловой энергии в границах поселения, городского округа);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удельный расход условного топлива на отпуск электрической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кг.у.т./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701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</w:t>
              <w:softHyphen/>
              <w:t>работки электрической и тепловой энергии);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доля отпуска тепловой энергии, осуществляемого потребителям по при</w:t>
              <w:softHyphen/>
              <w:t>борам учета, в общем объеме отпущенной тепловой энергии;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>
        <w:trPr>
          <w:trHeight w:val="466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средневзвешенный (по материальной характеристике) срок эксплуата</w:t>
              <w:softHyphen/>
              <w:t>ции тепловых сетей (для каждой системы теплоснабжения);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>
        <w:trPr>
          <w:trHeight w:val="1392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материальной характеристики тепловых сетей, реконструи</w:t>
              <w:softHyphen/>
              <w:t>рованных за год, к общей материальной характеристике тепловых сетей (фактическое значение за отчетный период и прогноз изменения при ре</w:t>
              <w:softHyphen/>
              <w:t>ализации проектов, указанных в утвержденной схеме теплоснабжения) (для каждой системы теплоснабжения, а также для поселения, город</w:t>
              <w:softHyphen/>
              <w:t>ского округа);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>
        <w:trPr>
          <w:trHeight w:val="1402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отношение установленной тепловой мощности оборудования источни</w:t>
              <w:softHyphen/>
              <w:t>ков тепловой энергии, реконструированного за год, к общей установлен</w:t>
              <w:softHyphen/>
              <w:t>ной тепловой мощности источников тепловой энергии (фактическое значение за отчетный период и прогноз изменения при реализации про</w:t>
              <w:softHyphen/>
              <w:t>ектов, указанных в утвержденной схеме теплоснабжения) (для поселе</w:t>
              <w:softHyphen/>
              <w:t>ния, городского округа).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>
      <w:pPr>
        <w:sectPr>
          <w:footerReference w:type="default" r:id="rId10"/>
          <w:footerReference w:type="first" r:id="rId11"/>
          <w:type w:val="nextPage"/>
          <w:pgSz w:w="11906" w:h="16838"/>
          <w:pgMar w:left="1134" w:right="567" w:gutter="0" w:header="0" w:top="567" w:footer="709" w:bottom="766"/>
          <w:pgNumType w:fmt="decimal"/>
          <w:formProt w:val="false"/>
          <w:textDirection w:val="lrTb"/>
          <w:docGrid w:type="default" w:linePitch="360" w:charSpace="8192"/>
        </w:sectPr>
      </w:pPr>
    </w:p>
    <w:p>
      <w:pPr>
        <w:pStyle w:val="Heading2"/>
        <w:jc w:val="center"/>
        <w:rPr>
          <w:rFonts w:eastAsia="Times New Roman"/>
          <w:lang w:eastAsia="ru-RU"/>
        </w:rPr>
      </w:pPr>
      <w:bookmarkStart w:id="55" w:name="_Toc3133911"/>
      <w:r>
        <w:rPr>
          <w:rFonts w:eastAsia="Times New Roman"/>
          <w:lang w:eastAsia="ru-RU"/>
        </w:rPr>
        <w:t>Раздел 15. Ценовые (тарифные) последствия.</w:t>
      </w:r>
      <w:bookmarkEnd w:id="55"/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Таблица 15.1 - Тарифно-балансовые расчетные модели теплоснабжения потребителей г. Новоульяновск, отопление</w:t>
      </w:r>
    </w:p>
    <w:tbl>
      <w:tblPr>
        <w:tblW w:w="1219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28"/>
        <w:gridCol w:w="995"/>
        <w:gridCol w:w="993"/>
        <w:gridCol w:w="1137"/>
        <w:gridCol w:w="1133"/>
        <w:gridCol w:w="1133"/>
        <w:gridCol w:w="1133"/>
        <w:gridCol w:w="1134"/>
        <w:gridCol w:w="1136"/>
        <w:gridCol w:w="1274"/>
      </w:tblGrid>
      <w:tr>
        <w:trPr>
          <w:trHeight w:val="1270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Ед.изм.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2030</w:t>
            </w:r>
          </w:p>
        </w:tc>
      </w:tr>
      <w:tr>
        <w:trPr>
          <w:trHeight w:val="960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Инвестиции, всего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27680,00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</w:tr>
      <w:tr>
        <w:trPr>
          <w:trHeight w:val="645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тепловые сети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4170,0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</w:tr>
      <w:tr>
        <w:trPr>
          <w:trHeight w:val="912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источники теплоснабжения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27680,00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0,00</w:t>
            </w:r>
          </w:p>
        </w:tc>
      </w:tr>
      <w:tr>
        <w:trPr>
          <w:trHeight w:val="1304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тариф (с проектом) без включения инвестиций в та</w:t>
              <w:softHyphen/>
              <w:t>риф (г. Новоульяновск)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руб./Гкал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2300,88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2438,93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2585,27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2740,38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2904,81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3079,09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3263,84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3459,67</w:t>
            </w:r>
          </w:p>
        </w:tc>
      </w:tr>
      <w:tr>
        <w:trPr>
          <w:trHeight w:val="1407" w:hRule="atLeast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тариф (с проектом) без включения инвестиций в та</w:t>
              <w:softHyphen/>
              <w:t>риф (с. Криуши)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руб./Гкал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2038,56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2160,87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2290,53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2427,96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2573,64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2728,05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2891,74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hanging="0" w:left="-57" w:right="-57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lang w:val="en-US"/>
              </w:rPr>
              <w:t>3065,24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2"/>
        <w:jc w:val="right"/>
        <w:rPr/>
      </w:pPr>
      <w:bookmarkStart w:id="56" w:name="_Toc3133912"/>
      <w:bookmarkStart w:id="57" w:name="_Toc3133367"/>
      <w:r>
        <w:rPr/>
        <w:t>Приложение 1</w:t>
      </w:r>
      <w:bookmarkEnd w:id="56"/>
      <w:bookmarkEnd w:id="57"/>
    </w:p>
    <w:p>
      <w:pPr>
        <w:sectPr>
          <w:footerReference w:type="default" r:id="rId13"/>
          <w:footerReference w:type="first" r:id="rId14"/>
          <w:type w:val="nextPage"/>
          <w:pgSz w:orient="landscape" w:w="16838" w:h="11906"/>
          <w:pgMar w:left="567" w:right="567" w:gutter="0" w:header="0" w:top="1134" w:footer="709" w:bottom="766"/>
          <w:pgNumType w:fmt="decimal"/>
          <w:formProt w:val="false"/>
          <w:textDirection w:val="lrTb"/>
          <w:docGrid w:type="default" w:linePitch="10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8439150" cy="5581650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1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jc w:val="right"/>
        <w:rPr/>
      </w:pPr>
      <w:bookmarkStart w:id="58" w:name="_Toc3133913"/>
      <w:bookmarkStart w:id="59" w:name="_Toc3133368"/>
      <w:r>
        <w:rPr/>
        <w:t>Приложение 2</w:t>
      </w:r>
      <w:bookmarkEnd w:id="58"/>
      <w:bookmarkEnd w:id="59"/>
    </w:p>
    <w:p>
      <w:pPr>
        <w:pStyle w:val="Normal"/>
        <w:jc w:val="center"/>
        <w:rPr/>
      </w:pPr>
      <w:r>
        <w:rPr/>
        <w:drawing>
          <wp:inline distT="0" distB="0" distL="0" distR="0">
            <wp:extent cx="8181975" cy="5674360"/>
            <wp:effectExtent l="0" t="0" r="0" b="0"/>
            <wp:docPr id="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639175" cy="586740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362950" cy="5562600"/>
            <wp:effectExtent l="0" t="0" r="0" b="0"/>
            <wp:docPr id="9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505825" cy="5819775"/>
            <wp:effectExtent l="0" t="0" r="0" b="0"/>
            <wp:docPr id="10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20"/>
          <w:footerReference w:type="first" r:id="rId21"/>
          <w:type w:val="nextPage"/>
          <w:pgSz w:orient="landscape" w:w="16838" w:h="11906"/>
          <w:pgMar w:left="567" w:right="567" w:gutter="0" w:header="0" w:top="1134" w:footer="709" w:bottom="766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9801225" cy="5781675"/>
            <wp:effectExtent l="0" t="0" r="0" b="0"/>
            <wp:docPr id="11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745" w:leader="none"/>
        </w:tabs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>
      <w:pPr>
        <w:pStyle w:val="Normal"/>
        <w:tabs>
          <w:tab w:val="clear" w:pos="708"/>
          <w:tab w:val="left" w:pos="2745" w:leader="none"/>
        </w:tabs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Контроль за исполнением настоящего постановления оставляю за собой.</w:t>
      </w:r>
    </w:p>
    <w:p>
      <w:pPr>
        <w:pStyle w:val="Normal"/>
        <w:tabs>
          <w:tab w:val="clear" w:pos="708"/>
          <w:tab w:val="left" w:pos="274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745" w:leader="none"/>
        </w:tabs>
        <w:rPr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Глава Администрации                                                                          С.А. Ильюшкин</w:t>
      </w:r>
    </w:p>
    <w:p>
      <w:pPr>
        <w:pStyle w:val="Normal"/>
        <w:tabs>
          <w:tab w:val="clear" w:pos="708"/>
          <w:tab w:val="left" w:pos="2745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2745" w:leader="none"/>
        </w:tabs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000914</w:t>
      </w:r>
    </w:p>
    <w:p>
      <w:pPr>
        <w:pStyle w:val="Normal"/>
        <w:tabs>
          <w:tab w:val="clear" w:pos="708"/>
          <w:tab w:val="left" w:pos="274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jc w:val="center"/>
        <w:rPr/>
      </w:pPr>
      <w:r>
        <w:rPr/>
      </w:r>
    </w:p>
    <w:sectPr>
      <w:footerReference w:type="default" r:id="rId22"/>
      <w:footerReference w:type="first" r:id="rId23"/>
      <w:type w:val="nextPage"/>
      <w:pgSz w:w="11906" w:h="16838"/>
      <w:pgMar w:left="567" w:right="1134" w:gutter="0" w:header="0" w:top="567" w:footer="709" w:bottom="766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Times New Roman">
    <w:charset w:val="01"/>
    <w:family w:val="roman"/>
    <w:pitch w:val="default"/>
  </w:font>
  <w:font w:name="ArialMT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Lucida Console">
    <w:charset w:val="01"/>
    <w:family w:val="roman"/>
    <w:pitch w:val="default"/>
  </w:font>
  <w:font w:name="Symbol">
    <w:charset w:val="02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629920197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6667922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41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126779377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22535746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33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3855581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35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49032008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40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eastAsia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fc556f"/>
    <w:pPr>
      <w:keepNext w:val="true"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themeColor="accent1" w:themeShade="bf" w:val="2F5496"/>
      <w:sz w:val="28"/>
      <w:szCs w:val="28"/>
    </w:rPr>
  </w:style>
  <w:style w:type="paragraph" w:styleId="Heading2">
    <w:name w:val="Heading 2"/>
    <w:basedOn w:val="Normal"/>
    <w:next w:val="Normal"/>
    <w:link w:val="2"/>
    <w:unhideWhenUsed/>
    <w:qFormat/>
    <w:rsid w:val="00fc556f"/>
    <w:pPr>
      <w:keepNext w:val="true"/>
      <w:keepLines/>
      <w:spacing w:before="40" w:after="0"/>
      <w:outlineLvl w:val="1"/>
    </w:pPr>
    <w:rPr>
      <w:rFonts w:ascii="Times New Roman" w:hAnsi="Times New Roman" w:eastAsia="" w:cs="" w:cstheme="majorBidi" w:eastAsiaTheme="majorEastAsia"/>
      <w:b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Название Знак"/>
    <w:basedOn w:val="DefaultParagraphFont"/>
    <w:uiPriority w:val="10"/>
    <w:qFormat/>
    <w:rsid w:val="00f57e1c"/>
    <w:rPr>
      <w:rFonts w:ascii="Times New Roman" w:hAnsi="Times New Roman" w:eastAsia="" w:cs="" w:cstheme="majorBidi" w:eastAsiaTheme="majorEastAsia"/>
      <w:b/>
      <w:spacing w:val="-10"/>
      <w:kern w:val="2"/>
      <w:sz w:val="28"/>
      <w:szCs w:val="56"/>
    </w:rPr>
  </w:style>
  <w:style w:type="character" w:styleId="Fontstyle01" w:customStyle="1">
    <w:name w:val="fontstyle01"/>
    <w:basedOn w:val="DefaultParagraphFont"/>
    <w:qFormat/>
    <w:rsid w:val="00cf5793"/>
    <w:rPr>
      <w:rFonts w:ascii="ArialMT" w:hAnsi="ArialMT"/>
      <w:b w:val="false"/>
      <w:bCs w:val="false"/>
      <w:i w:val="false"/>
      <w:iCs w:val="false"/>
      <w:color w:val="000000"/>
      <w:sz w:val="24"/>
      <w:szCs w:val="24"/>
    </w:rPr>
  </w:style>
  <w:style w:type="character" w:styleId="1" w:customStyle="1">
    <w:name w:val="Заголовок 1 Знак"/>
    <w:basedOn w:val="DefaultParagraphFont"/>
    <w:uiPriority w:val="9"/>
    <w:qFormat/>
    <w:rsid w:val="00fc556f"/>
    <w:rPr>
      <w:rFonts w:ascii="Calibri Light" w:hAnsi="Calibri Light" w:eastAsia="" w:cs="" w:asciiTheme="majorHAnsi" w:cstheme="majorBidi" w:eastAsiaTheme="majorEastAsia" w:hAnsiTheme="majorHAnsi"/>
      <w:b/>
      <w:bCs/>
      <w:color w:themeColor="accent1" w:themeShade="bf" w:val="2F5496"/>
      <w:sz w:val="28"/>
      <w:szCs w:val="28"/>
    </w:rPr>
  </w:style>
  <w:style w:type="character" w:styleId="2" w:customStyle="1">
    <w:name w:val="Заголовок 2 Знак"/>
    <w:basedOn w:val="DefaultParagraphFont"/>
    <w:qFormat/>
    <w:rsid w:val="00fc556f"/>
    <w:rPr>
      <w:rFonts w:ascii="Times New Roman" w:hAnsi="Times New Roman" w:eastAsia="" w:cs="" w:cstheme="majorBidi" w:eastAsiaTheme="majorEastAsia"/>
      <w:b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fc556f"/>
    <w:rPr>
      <w:color w:themeColor="hyperlink" w:val="0563C1"/>
      <w:u w:val="single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fc556f"/>
    <w:rPr>
      <w:rFonts w:ascii="Tahoma" w:hAnsi="Tahoma" w:cs="Tahoma"/>
      <w:sz w:val="16"/>
      <w:szCs w:val="16"/>
    </w:rPr>
  </w:style>
  <w:style w:type="character" w:styleId="Style14" w:customStyle="1">
    <w:name w:val="Основной текст Знак"/>
    <w:basedOn w:val="DefaultParagraphFont"/>
    <w:uiPriority w:val="99"/>
    <w:semiHidden/>
    <w:qFormat/>
    <w:rsid w:val="004c1b9c"/>
    <w:rPr>
      <w:rFonts w:ascii="Calibri" w:hAnsi="Calibri" w:eastAsia="Times New Roman" w:cs="Times New Roman"/>
      <w:lang w:eastAsia="ru-RU"/>
    </w:rPr>
  </w:style>
  <w:style w:type="character" w:styleId="Fontstyle21" w:customStyle="1">
    <w:name w:val="fontstyle21"/>
    <w:basedOn w:val="DefaultParagraphFont"/>
    <w:qFormat/>
    <w:rsid w:val="002e36a8"/>
    <w:rPr>
      <w:rFonts w:ascii="Times New Roman" w:hAnsi="Times New Roman" w:cs="Times New Roman"/>
      <w:b/>
      <w:bCs/>
      <w:i w:val="false"/>
      <w:iCs w:val="false"/>
      <w:color w:val="000000"/>
      <w:sz w:val="22"/>
      <w:szCs w:val="22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1b7e18"/>
    <w:rPr/>
  </w:style>
  <w:style w:type="character" w:styleId="Style16" w:customStyle="1">
    <w:name w:val="Нижний колонтитул Знак"/>
    <w:basedOn w:val="DefaultParagraphFont"/>
    <w:uiPriority w:val="99"/>
    <w:qFormat/>
    <w:rsid w:val="001b7e18"/>
    <w:rPr/>
  </w:style>
  <w:style w:type="character" w:styleId="21" w:customStyle="1">
    <w:name w:val="Основной текст (2) + Не полужирный"/>
    <w:basedOn w:val="DefaultParagraphFont"/>
    <w:qFormat/>
    <w:rsid w:val="00564a2a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ru-RU" w:eastAsia="ru-RU" w:bidi="ru-RU"/>
    </w:rPr>
  </w:style>
  <w:style w:type="character" w:styleId="22" w:customStyle="1">
    <w:name w:val="Основной текст (2)"/>
    <w:basedOn w:val="DefaultParagraphFont"/>
    <w:qFormat/>
    <w:rsid w:val="00564a2a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ru-RU" w:eastAsia="ru-RU" w:bidi="ru-RU"/>
    </w:rPr>
  </w:style>
  <w:style w:type="character" w:styleId="2CourierNew8pt" w:customStyle="1">
    <w:name w:val="Основной текст (2) + Courier New;8 pt;Не полужирный"/>
    <w:basedOn w:val="DefaultParagraphFont"/>
    <w:qFormat/>
    <w:rsid w:val="00564a2a"/>
    <w:rPr>
      <w:rFonts w:ascii="Courier New" w:hAnsi="Courier New" w:eastAsia="Courier New" w:cs="Courier New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ru-RU" w:eastAsia="ru-RU" w:bidi="ru-RU"/>
    </w:rPr>
  </w:style>
  <w:style w:type="character" w:styleId="24pt" w:customStyle="1">
    <w:name w:val="Основной текст (2) + 4 pt;Не полужирный"/>
    <w:basedOn w:val="DefaultParagraphFont"/>
    <w:qFormat/>
    <w:rsid w:val="00564a2a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8"/>
      <w:szCs w:val="8"/>
      <w:u w:val="none"/>
      <w:lang w:val="ru-RU" w:eastAsia="ru-RU" w:bidi="ru-RU"/>
    </w:rPr>
  </w:style>
  <w:style w:type="character" w:styleId="Style17" w:customStyle="1">
    <w:name w:val="Ссылка указателя"/>
    <w:qFormat/>
    <w:rPr/>
  </w:style>
  <w:style w:type="paragraph" w:styleId="Style18" w:customStyle="1">
    <w:name w:val="Заголовок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BodyText">
    <w:name w:val="Body Text"/>
    <w:basedOn w:val="Normal"/>
    <w:link w:val="Style14"/>
    <w:uiPriority w:val="99"/>
    <w:semiHidden/>
    <w:unhideWhenUsed/>
    <w:rsid w:val="004c1b9c"/>
    <w:pPr>
      <w:spacing w:lineRule="auto" w:line="276" w:before="0" w:after="120"/>
    </w:pPr>
    <w:rPr>
      <w:rFonts w:ascii="Calibri" w:hAnsi="Calibri" w:eastAsia="Times New Roman" w:cs="Times New Roman"/>
      <w:lang w:eastAsia="ru-RU"/>
    </w:rPr>
  </w:style>
  <w:style w:type="paragraph" w:styleId="List">
    <w:name w:val="List"/>
    <w:basedOn w:val="BodyText"/>
    <w:pPr/>
    <w:rPr>
      <w:rFonts w:ascii="Times New Roman" w:hAnsi="Times New Roman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Times New Roman" w:hAnsi="Times New Roman"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Indexheading1">
    <w:name w:val="index heading1"/>
    <w:basedOn w:val="Style18"/>
    <w:qFormat/>
    <w:pPr/>
    <w:rPr/>
  </w:style>
  <w:style w:type="paragraph" w:styleId="Title">
    <w:name w:val="Title"/>
    <w:basedOn w:val="Normal"/>
    <w:next w:val="Normal"/>
    <w:link w:val="Style12"/>
    <w:uiPriority w:val="10"/>
    <w:qFormat/>
    <w:rsid w:val="00f57e1c"/>
    <w:pPr>
      <w:spacing w:lineRule="auto" w:line="240" w:before="0" w:after="0"/>
      <w:contextualSpacing/>
      <w:jc w:val="center"/>
    </w:pPr>
    <w:rPr>
      <w:rFonts w:ascii="Times New Roman" w:hAnsi="Times New Roman" w:eastAsia="" w:cs="" w:cstheme="majorBidi" w:eastAsiaTheme="majorEastAsia"/>
      <w:b/>
      <w:spacing w:val="-10"/>
      <w:kern w:val="2"/>
      <w:sz w:val="28"/>
      <w:szCs w:val="56"/>
    </w:rPr>
  </w:style>
  <w:style w:type="paragraph" w:styleId="NormalWeb">
    <w:name w:val="Normal (Web)"/>
    <w:basedOn w:val="Normal"/>
    <w:qFormat/>
    <w:rsid w:val="00cf5793"/>
    <w:pPr>
      <w:spacing w:lineRule="auto" w:line="240" w:beforeAutospacing="1" w:after="119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f5793"/>
    <w:pPr>
      <w:spacing w:before="0" w:after="160"/>
      <w:ind w:hanging="0" w:left="720"/>
      <w:contextualSpacing/>
    </w:pPr>
    <w:rPr/>
  </w:style>
  <w:style w:type="paragraph" w:styleId="IndexHeading">
    <w:name w:val="Index Heading"/>
    <w:basedOn w:val="Style18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fc556f"/>
    <w:pPr>
      <w:spacing w:lineRule="auto" w:line="276"/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fc556f"/>
    <w:pPr>
      <w:spacing w:before="0" w:after="100"/>
      <w:ind w:hanging="0" w:left="220"/>
    </w:pPr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fc556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5"/>
    <w:uiPriority w:val="99"/>
    <w:unhideWhenUsed/>
    <w:rsid w:val="001b7e1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uiPriority w:val="99"/>
    <w:unhideWhenUsed/>
    <w:rsid w:val="001b7e1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59"/>
    <w:unhideWhenUsed/>
    <w:rsid w:val="000a2ec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5.pn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6.jpeg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footer" Target="footer11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A31B1-EDF1-40A3-A94A-F026500C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LibreOffice/7.6.2.1$Windows_X86_64 LibreOffice_project/56f7684011345957bbf33a7ee678afaf4d2ba333</Application>
  <AppVersion>15.0000</AppVersion>
  <Pages>41</Pages>
  <Words>6851</Words>
  <Characters>48392</Characters>
  <CharactersWithSpaces>53770</CharactersWithSpaces>
  <Paragraphs>1590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2023-11-01T07:27:00Z</dcterms:created>
  <dc:creator>Den</dc:creator>
  <dc:description/>
  <dc:language>ru-RU</dc:language>
  <cp:lastModifiedBy/>
  <cp:lastPrinted>2023-12-05T11:04:37Z</cp:lastPrinted>
  <dcterms:modified xsi:type="dcterms:W3CDTF">2023-12-05T11:08:45Z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