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05" w:type="dxa"/>
        <w:jc w:val="left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89"/>
        <w:gridCol w:w="1345"/>
        <w:gridCol w:w="2561"/>
        <w:gridCol w:w="1259"/>
        <w:gridCol w:w="1251"/>
      </w:tblGrid>
      <w:tr>
        <w:trPr>
          <w:trHeight w:val="2160" w:hRule="atLeast"/>
        </w:trPr>
        <w:tc>
          <w:tcPr>
            <w:tcW w:w="9705" w:type="dxa"/>
            <w:gridSpan w:val="5"/>
            <w:tcBorders/>
          </w:tcPr>
          <w:p>
            <w:pPr>
              <w:pStyle w:val="Normal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/>
              <w:drawing>
                <wp:inline distT="0" distB="0" distL="0" distR="0">
                  <wp:extent cx="504825" cy="590550"/>
                  <wp:effectExtent l="0" t="0" r="0" b="0"/>
                  <wp:docPr id="1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abs>
                <w:tab w:val="clear" w:pos="709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Администрация</w:t>
            </w:r>
          </w:p>
          <w:p>
            <w:pPr>
              <w:pStyle w:val="Normal"/>
              <w:tabs>
                <w:tab w:val="clear" w:pos="709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9"/>
                <w:tab w:val="left" w:pos="6480" w:leader="none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705" w:type="dxa"/>
            <w:gridSpan w:val="5"/>
            <w:tcBorders/>
          </w:tcPr>
          <w:p>
            <w:pPr>
              <w:pStyle w:val="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  <w:tr>
        <w:trPr>
          <w:trHeight w:val="283" w:hRule="atLeast"/>
        </w:trPr>
        <w:tc>
          <w:tcPr>
            <w:tcW w:w="9705" w:type="dxa"/>
            <w:gridSpan w:val="5"/>
            <w:tcBorders/>
          </w:tcPr>
          <w:p>
            <w:pPr>
              <w:pStyle w:val="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  О  С  Т  А  Н  О  В  Л  Е  Н  И  Е</w:t>
            </w:r>
          </w:p>
        </w:tc>
      </w:tr>
      <w:tr>
        <w:trPr>
          <w:trHeight w:val="283" w:hRule="atLeast"/>
        </w:trPr>
        <w:tc>
          <w:tcPr>
            <w:tcW w:w="9705" w:type="dxa"/>
            <w:gridSpan w:val="5"/>
            <w:tcBorders/>
          </w:tcPr>
          <w:p>
            <w:pPr>
              <w:pStyle w:val="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  <w:tr>
        <w:trPr>
          <w:trHeight w:val="283" w:hRule="atLeast"/>
        </w:trPr>
        <w:tc>
          <w:tcPr>
            <w:tcW w:w="9705" w:type="dxa"/>
            <w:gridSpan w:val="5"/>
            <w:tcBorders/>
          </w:tcPr>
          <w:p>
            <w:pPr>
              <w:pStyle w:val="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  <w:tr>
        <w:trPr>
          <w:trHeight w:val="285" w:hRule="atLeast"/>
        </w:trPr>
        <w:tc>
          <w:tcPr>
            <w:tcW w:w="32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8"/>
                <w:szCs w:val="28"/>
                <w:lang w:eastAsia="en-US"/>
              </w:rPr>
            </w:pPr>
            <w:r>
              <w:rPr/>
            </w:r>
          </w:p>
        </w:tc>
        <w:tc>
          <w:tcPr>
            <w:tcW w:w="1345" w:type="dxa"/>
            <w:tcBorders/>
            <w:vAlign w:val="bottom"/>
          </w:tcPr>
          <w:p>
            <w:pPr>
              <w:pStyle w:val="Normal"/>
              <w:rPr>
                <w:sz w:val="28"/>
                <w:szCs w:val="28"/>
                <w:lang w:val="en-US" w:eastAsia="en-US"/>
              </w:rPr>
            </w:pPr>
            <w:r>
              <w:rPr/>
            </w:r>
          </w:p>
        </w:tc>
        <w:tc>
          <w:tcPr>
            <w:tcW w:w="2561" w:type="dxa"/>
            <w:vMerge w:val="restart"/>
            <w:tcBorders/>
          </w:tcPr>
          <w:p>
            <w:pPr>
              <w:pStyle w:val="Normal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eastAsia="en-US"/>
              </w:rPr>
            </w:pPr>
            <w:r>
              <w:rPr/>
            </w:r>
          </w:p>
        </w:tc>
      </w:tr>
      <w:tr>
        <w:trPr>
          <w:trHeight w:val="387" w:hRule="atLeast"/>
        </w:trPr>
        <w:tc>
          <w:tcPr>
            <w:tcW w:w="4634" w:type="dxa"/>
            <w:gridSpan w:val="2"/>
            <w:tcBorders/>
            <w:vAlign w:val="bottom"/>
          </w:tcPr>
          <w:p>
            <w:pPr>
              <w:pStyle w:val="Normal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561" w:type="dxa"/>
            <w:vMerge w:val="continue"/>
            <w:tcBorders/>
            <w:vAlign w:val="center"/>
          </w:tcPr>
          <w:p>
            <w:pPr>
              <w:pStyle w:val="Normal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Экз. №</w:t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ind w:firstLine="567"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spacing w:lineRule="auto" w:line="276"/>
        <w:jc w:val="center"/>
        <w:rPr>
          <w:rFonts w:eastAsia="DejaVu Sans" w:eastAsiaTheme="minorEastAsia"/>
          <w:b/>
          <w:sz w:val="28"/>
          <w:szCs w:val="28"/>
          <w:lang w:eastAsia="ru-RU"/>
        </w:rPr>
      </w:pPr>
      <w:r>
        <w:rPr>
          <w:rFonts w:eastAsia="DejaVu Sans" w:eastAsiaTheme="minorEastAsia"/>
          <w:b/>
          <w:sz w:val="28"/>
          <w:szCs w:val="28"/>
          <w:lang w:eastAsia="ru-RU"/>
        </w:rPr>
        <w:t>О внесении изменений в постановление Администрации</w:t>
      </w:r>
    </w:p>
    <w:p>
      <w:pPr>
        <w:pStyle w:val="Normal"/>
        <w:suppressAutoHyphens w:val="false"/>
        <w:spacing w:lineRule="auto" w:line="276"/>
        <w:jc w:val="center"/>
        <w:rPr>
          <w:rFonts w:eastAsia="DejaVu Sans" w:eastAsiaTheme="minorEastAsia"/>
          <w:b/>
          <w:sz w:val="28"/>
          <w:szCs w:val="28"/>
          <w:lang w:eastAsia="ru-RU"/>
        </w:rPr>
      </w:pPr>
      <w:r>
        <w:rPr>
          <w:rFonts w:eastAsia="DejaVu Sans" w:eastAsiaTheme="minorEastAsia"/>
          <w:b/>
          <w:sz w:val="28"/>
          <w:szCs w:val="28"/>
          <w:lang w:eastAsia="ru-RU"/>
        </w:rPr>
        <w:t xml:space="preserve">муниципального образования «Город Новоульяновск» </w:t>
      </w:r>
    </w:p>
    <w:p>
      <w:pPr>
        <w:pStyle w:val="Normal"/>
        <w:suppressAutoHyphens w:val="false"/>
        <w:spacing w:lineRule="auto" w:line="276"/>
        <w:jc w:val="center"/>
        <w:rPr>
          <w:rFonts w:eastAsia="DejaVu Sans" w:eastAsiaTheme="minorEastAsia"/>
          <w:b/>
          <w:sz w:val="28"/>
          <w:szCs w:val="28"/>
          <w:lang w:eastAsia="ru-RU"/>
        </w:rPr>
      </w:pPr>
      <w:r>
        <w:rPr>
          <w:rFonts w:eastAsia="DejaVu Sans" w:eastAsiaTheme="minorEastAsia"/>
          <w:b/>
          <w:sz w:val="28"/>
          <w:szCs w:val="28"/>
          <w:lang w:eastAsia="ru-RU"/>
        </w:rPr>
        <w:t>Ульяновской области от 14 ноября 2024 г. № 817-П</w:t>
      </w:r>
    </w:p>
    <w:p>
      <w:pPr>
        <w:pStyle w:val="Normal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68" w:leader="none"/>
        </w:tabs>
        <w:suppressAutoHyphens w:val="false"/>
        <w:spacing w:lineRule="auto" w:line="276"/>
        <w:jc w:val="both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  <w:tab/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tabs>
          <w:tab w:val="clear" w:pos="709"/>
          <w:tab w:val="left" w:pos="1168" w:leader="none"/>
        </w:tabs>
        <w:suppressAutoHyphens w:val="false"/>
        <w:spacing w:lineRule="auto" w:line="276"/>
        <w:jc w:val="both"/>
        <w:rPr>
          <w:rFonts w:eastAsia="DejaVu Sans" w:eastAsiaTheme="minorEastAsia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1. Внести в муниципальную программу муниципального образования «Город Новоульяновск» Ульяновской области «Развитие культуры                                           в муниципальном образовании «Город Новоульяновск» Ульяновской области», утвержденную постановлением Администрации муниципального образования «Город Новоульяновск» Ульяновской области от 14 ноября 2024 г. № 817-П «Об утверждении муниципальной программы «Развитие культуры                      в муниципальном образовании «Город Новоульяновск» Ульяновской области», следующие изменения: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 1 изложить в следующей редакции: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000170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«Паспорт муниципальной программы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культуры в муниципальном образовании «Город Новоульяновск» Ульяновской области»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Основные положения</w:t>
      </w:r>
    </w:p>
    <w:tbl>
      <w:tblPr>
        <w:tblW w:w="15120" w:type="dxa"/>
        <w:jc w:val="left"/>
        <w:tblInd w:w="188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500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Куратор муниципальной программы</w:t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Смирнова Татьяна Юрьевна, исполняющий обязанности Первого заместителя Главы Администрации МО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исполнитель муниципальной программы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Период реализации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2025-2030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Цель (цели) муниципальной программы</w:t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Обеспечение доступа граждан к культурным ценностям и участию в культурной жизни, реализация творческого потенциала населения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Перечень структурных элементов</w:t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1.Реализация регионального проекта «Семейные ценности и инфраструктура культуры».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2. Реализация регионального проекта «Развитие искусства и творчества», обеспечивающий достижение значений показателей и результатов федерального проекта «Развитие искусства </w:t>
              <w:br/>
              <w:t>и творчества», не входящего в состав национального проекта</w:t>
            </w:r>
            <w:r>
              <w:rPr/>
              <w:t>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/>
            </w:pPr>
            <w:r>
              <w:rPr>
                <w:color w:val="000000"/>
              </w:rPr>
              <w:t>3. Реализация регионального проекта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/>
            </w:pPr>
            <w:r>
              <w:rPr/>
              <w:t>4. Комплекс процессных мероприятий «Организация досуга населения, создание условий для повышения качества и разнообразия услуг, предоставляемых в сфере культуры».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/>
            </w:pPr>
            <w:r>
              <w:rPr/>
              <w:t>5. Комплекс процессных мероприятий «</w:t>
            </w:r>
            <w:r>
              <w:rPr>
                <w:color w:val="000000"/>
              </w:rPr>
              <w:t xml:space="preserve">Основные  направления развития учреждений </w:t>
              <w:br/>
              <w:t>и организаций культуры и искусства в муниципальном образовании «Город Новоульяновск» Ульяновской области</w:t>
            </w:r>
            <w:r>
              <w:rPr/>
              <w:t>».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/>
            </w:pPr>
            <w:r>
              <w:rPr/>
              <w:t xml:space="preserve">6. Комплекс процессных мероприятий </w:t>
            </w:r>
            <w:r>
              <w:rPr>
                <w:szCs w:val="28"/>
              </w:rPr>
              <w:t>«Укрепление единства российской нации и этнокультурное развитие народов в муниципальном образовании «Город Новоульяновск Ульяновской области».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both"/>
              <w:textAlignment w:val="baseline"/>
              <w:rPr/>
            </w:pPr>
            <w:r>
              <w:rPr/>
              <w:t xml:space="preserve">7. Комплекс процессных мероприятий </w:t>
            </w:r>
            <w:r>
              <w:rPr>
                <w:lang w:eastAsia="ar-SA"/>
              </w:rPr>
              <w:t>«Обеспечение реализации муниципальной программы».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Объемы финансового обеспечения за весь период реализации</w:t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объем бюджетных ассигнований на финансовое обеспечение реализации муниципальной программы составляет 511 762,3 тыс. рублей, в том числе по годам: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2025 году – 60 295,7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2026 году – 80 609,6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68 150,0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2028 году – 67 370,7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2029 году – 123 127,0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2030 году – 112 209,3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них: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16 560,6 тыс. рублей - 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2025 году – 152,5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2026 году – 15 349,0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1 023,3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2028 году – 35,8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495 201,7 тыс. рублей – бюджетные ассигнования бюджета муниципального образования «Город Новоульяновск» Ульяновской области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2025 году – 60 143,2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2026 году – 65 260,6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67 126,7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2028 году – 67 334,9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2029 году – 123 127,0 тыс. рублей;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2030 году – 112 209,3 тыс. рублей.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 Ульяновской области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both"/>
              <w:textAlignment w:val="baseline"/>
              <w:rPr/>
            </w:pPr>
            <w:r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области», утверждённая постановлением Правительства Ульяновской области от 30.11.2023 №32/648-П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28"/>
        </w:rPr>
      </w:pPr>
      <w:r>
        <w:rPr>
          <w:b/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  <w:t>2. Показатели муниципальной программы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</w:r>
    </w:p>
    <w:tbl>
      <w:tblPr>
        <w:tblStyle w:val="af2"/>
        <w:tblW w:w="1546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2402"/>
        <w:gridCol w:w="2009"/>
        <w:gridCol w:w="1338"/>
        <w:gridCol w:w="1215"/>
        <w:gridCol w:w="656"/>
        <w:gridCol w:w="656"/>
        <w:gridCol w:w="657"/>
        <w:gridCol w:w="654"/>
        <w:gridCol w:w="657"/>
        <w:gridCol w:w="665"/>
        <w:gridCol w:w="84"/>
        <w:gridCol w:w="1767"/>
        <w:gridCol w:w="1833"/>
        <w:gridCol w:w="333"/>
      </w:tblGrid>
      <w:tr>
        <w:trPr/>
        <w:tc>
          <w:tcPr>
            <w:tcW w:w="539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2402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показателя</w:t>
            </w:r>
          </w:p>
        </w:tc>
        <w:tc>
          <w:tcPr>
            <w:tcW w:w="2009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Признак возрастания/</w:t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убывания</w:t>
            </w:r>
          </w:p>
        </w:tc>
        <w:tc>
          <w:tcPr>
            <w:tcW w:w="1338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215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</w:t>
            </w:r>
          </w:p>
        </w:tc>
        <w:tc>
          <w:tcPr>
            <w:tcW w:w="4029" w:type="dxa"/>
            <w:gridSpan w:val="7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</w:t>
            </w:r>
          </w:p>
        </w:tc>
        <w:tc>
          <w:tcPr>
            <w:tcW w:w="1767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Ответственныйза достижение показателя</w:t>
            </w:r>
          </w:p>
        </w:tc>
        <w:tc>
          <w:tcPr>
            <w:tcW w:w="1833" w:type="dxa"/>
            <w:vMerge w:val="restart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государственных программ Ульяновской области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02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09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38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15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656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2025</w:t>
            </w:r>
          </w:p>
        </w:tc>
        <w:tc>
          <w:tcPr>
            <w:tcW w:w="656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2026</w:t>
            </w:r>
          </w:p>
        </w:tc>
        <w:tc>
          <w:tcPr>
            <w:tcW w:w="657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2027</w:t>
            </w:r>
          </w:p>
        </w:tc>
        <w:tc>
          <w:tcPr>
            <w:tcW w:w="654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2028</w:t>
            </w:r>
          </w:p>
        </w:tc>
        <w:tc>
          <w:tcPr>
            <w:tcW w:w="657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1767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33" w:type="dxa"/>
            <w:vMerge w:val="continue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5132" w:type="dxa"/>
            <w:gridSpan w:val="14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Цель муниципальной программы: «Обеспечение доступа граждан к культурным ценностям и участию в культурной жизни, реализация творческого потенциала населения»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58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Увеличение числа посещений  мероприятий, организованных  учреждениями культуры клубного типа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0"/>
                <w:lang w:val="ru-RU" w:bidi="ar-SA"/>
              </w:rPr>
              <w:t>в год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95,2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110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113,6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119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124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129,4</w:t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132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ГП «Развитие культуры, туризма и сохранение объектов культурного наследия Ульяновской области»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eastAsia="en-US" w:bidi="ar-SA"/>
              </w:rPr>
              <w:t>Увеличение числа  посещений мероприятий, организованных муниципальными библиотеками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64,5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70,6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75,2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78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81,3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84,5</w:t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89,7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ГП «Развитие культуры, туризма и сохранение объектов культурного наследия Ульяновской области»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50" w:hRule="atLeast"/>
        </w:trPr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Увеличение числа посещений культурных мероприятий на территории муниципального образования «Город Новоульяновск»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164,2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180,6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188,8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197,0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205,3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213,5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221,7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50" w:hRule="atLeast"/>
        </w:trPr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учреждений культуры и образовательных организаций в сфере культуры, получивших оснащение материально-технической базы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3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объектов культуры, на которых выполнен текущий, капитальный ремонт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0"/>
                <w:lang w:val="ru-RU" w:bidi="ar-SA"/>
              </w:rPr>
              <w:t>в год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1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объектов культуры, в которых проведены мероприятия, направленные на обеспечение пожарной безопасности, антитеррористической защищенности и доступной среды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в год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2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3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мероприятий, направленных</w:t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 укрепление единства российской нации и этнокультурное развитие народов, профилактику экстремистских проявлений (общее количество)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Единиц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в год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4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6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8.</w:t>
            </w:r>
          </w:p>
        </w:tc>
        <w:tc>
          <w:tcPr>
            <w:tcW w:w="2402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szCs w:val="20"/>
                <w:lang w:val="ru-RU" w:bidi="ar-SA"/>
              </w:rPr>
              <w:t>Удовлетворенность условиями оказания услуг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Возрастающий</w:t>
            </w:r>
          </w:p>
        </w:tc>
        <w:tc>
          <w:tcPr>
            <w:tcW w:w="133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Cs w:val="20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Процент</w:t>
            </w:r>
          </w:p>
        </w:tc>
        <w:tc>
          <w:tcPr>
            <w:tcW w:w="121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5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99,5</w:t>
            </w:r>
          </w:p>
        </w:tc>
        <w:tc>
          <w:tcPr>
            <w:tcW w:w="185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  <w:sz w:val="22"/>
                <w:lang w:val="ru-RU" w:bidi="ar-SA"/>
              </w:rPr>
            </w:pPr>
            <w:r>
              <w:rPr>
                <w:kern w:val="0"/>
                <w:sz w:val="22"/>
                <w:szCs w:val="20"/>
                <w:lang w:val="ru-RU" w:bidi="ar-SA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  <w:tcBorders/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</w:t>
            </w:r>
          </w:p>
        </w:tc>
        <w:tc>
          <w:tcPr>
            <w:tcW w:w="333" w:type="dxa"/>
            <w:tcBorders>
              <w:top w:val="nil"/>
              <w:bottom w:val="nil"/>
              <w:right w:val="nil"/>
            </w:tcBorders>
          </w:tcPr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formattext"/>
              <w:widowControl/>
              <w:spacing w:beforeAutospacing="0" w:before="0" w:afterAutospacing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32"/>
        </w:rPr>
      </w:pPr>
      <w:r>
        <w:rPr>
          <w:b/>
        </w:rPr>
        <w:t>»;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приложение 1 к муниципальной программе изложить в следующей редакции:</w:t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«Приложение 1</w:t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 муниципальной программе</w:t>
      </w:r>
    </w:p>
    <w:p>
      <w:pPr>
        <w:pStyle w:val="formattext"/>
        <w:spacing w:beforeAutospacing="0" w:before="0" w:afterAutospacing="0" w:after="0"/>
        <w:jc w:val="right"/>
        <w:textAlignment w:val="baseline"/>
        <w:rPr>
          <w:b/>
          <w:sz w:val="28"/>
        </w:rPr>
      </w:pPr>
      <w:r>
        <w:rPr>
          <w:b/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Реализация проекта </w:t>
      </w:r>
      <w:r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Семейные ценности и инфраструктура культуры» 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    </w:t>
      </w:r>
      <w:r>
        <w:rPr>
          <w:rFonts w:cs="Arial" w:ascii="Arial" w:hAnsi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области», утверждённая постановлением Правительства Ульяновской области от 30.11.2023 №32/648-П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>
          <w:trHeight w:val="129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14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Задача 1. </w:t>
            </w:r>
            <w:r>
              <w:rPr>
                <w:szCs w:val="28"/>
              </w:rPr>
              <w:t>Развитие инфраструктуры в сфере культуры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58"/>
              <w:jc w:val="center"/>
              <w:textAlignment w:val="baseline"/>
              <w:rPr/>
            </w:pPr>
            <w:r>
              <w:rPr>
                <w:lang w:eastAsia="en-US"/>
              </w:rPr>
              <w:t>Увеличение числа  посещений мероприятий, организованных  муниципальными библиотеками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64,5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70,6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81,3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89,7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28"/>
        </w:rPr>
      </w:pPr>
      <w:r>
        <w:rPr>
          <w:b/>
          <w:color w:val="000000"/>
          <w:sz w:val="28"/>
          <w:szCs w:val="28"/>
        </w:rPr>
        <w:t xml:space="preserve">Реализация регионального проекта </w:t>
      </w:r>
      <w:r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Развитие искусства и творчества», обеспечивающий достижение значений показателей и результатов федерального проекта «Развитие искусства и творчества», не входящего в состав национального проекта»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    </w:t>
      </w:r>
      <w:r>
        <w:rPr>
          <w:rFonts w:cs="Arial" w:ascii="Arial" w:hAnsi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области», утверждённая постановлением Правительства Ульяновской области от 30.11.2023 №32/648-П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>
          <w:trHeight w:val="129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14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Задача 1. </w:t>
            </w:r>
            <w:r>
              <w:rPr>
                <w:szCs w:val="28"/>
              </w:rPr>
              <w:t>Развитие инфраструктуры в сфере культуры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58"/>
              <w:jc w:val="center"/>
              <w:textAlignment w:val="baseline"/>
              <w:rPr/>
            </w:pPr>
            <w:r>
              <w:rPr/>
              <w:t>Увеличение числа посещений  мероприятий, организованных  учреждениями культуры клубного типа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95,2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113,6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129,4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28"/>
        </w:rPr>
      </w:pPr>
      <w:r>
        <w:rPr>
          <w:b/>
          <w:sz w:val="28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28"/>
        </w:rPr>
      </w:pPr>
      <w:r>
        <w:rPr>
          <w:b/>
          <w:color w:val="000000"/>
          <w:sz w:val="28"/>
          <w:szCs w:val="28"/>
        </w:rPr>
        <w:t xml:space="preserve">Реализация регионального проекта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проекта» </w:t>
      </w:r>
      <w:r>
        <w:rPr>
          <w:b/>
          <w:sz w:val="28"/>
        </w:rPr>
        <w:t>муниципальной программы «Развитие культуры в муниципальном образовании «Город Новоульяновск» Ульяновской области»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    </w:t>
      </w:r>
      <w:r>
        <w:rPr>
          <w:rFonts w:cs="Arial" w:ascii="Arial" w:hAnsi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области», утверждённая постановлением Правительства Ульяновской области от 30.11.2023 №32/648-П</w:t>
            </w:r>
          </w:p>
        </w:tc>
      </w:tr>
    </w:tbl>
    <w:p>
      <w:pPr>
        <w:pStyle w:val="formattext"/>
        <w:spacing w:beforeAutospacing="0" w:before="0" w:afterAutospacing="0" w:after="0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14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Задача 1. </w:t>
            </w:r>
            <w:r>
              <w:rPr>
                <w:szCs w:val="28"/>
              </w:rPr>
              <w:t>Развитие инфраструктуры в сфере культуры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58"/>
              <w:jc w:val="center"/>
              <w:textAlignment w:val="baseline"/>
              <w:rPr/>
            </w:pPr>
            <w:r>
              <w:rPr>
                <w:lang w:eastAsia="en-US"/>
              </w:rPr>
              <w:t>Увеличение числа  посещений мероприятий, организованных  муниципальными библиотеками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64,5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70,6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81,3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89,7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b/>
          <w:sz w:val="28"/>
        </w:rPr>
        <w:t>Паспорт комплекса процессного мероприятия «Организация досуга населения, создание условий для повышения качества и разнообразия услуг, предоставляемых в сфере культуры»</w:t>
      </w:r>
      <w:r>
        <w:rPr>
          <w:rFonts w:cs="Arial" w:ascii="Arial" w:hAnsi="Arial"/>
          <w:color w:val="444444"/>
          <w:sz w:val="28"/>
        </w:rPr>
        <w:t>     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х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/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Задача 2. Организация досуга населения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Увеличение числа посещений культурных мероприятий на территории муниципального образования «Город Новоульяновск»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95,2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113,6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129,4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Количество учреждений культуры и образовательных организаций в сфере культуры, получивших оснащение материально-технической базы,</w:t>
            </w:r>
          </w:p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в том числе: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>в год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3,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>в том числе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>в том числе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учреждения культуры клубного типа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детские школы искусств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библиотеки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b/>
          <w:color w:val="444444"/>
          <w:sz w:val="28"/>
        </w:rPr>
      </w:pPr>
      <w:r>
        <w:rPr>
          <w:b/>
          <w:sz w:val="28"/>
        </w:rPr>
        <w:t>Паспорт комплекса процессного мероприятия «</w:t>
      </w:r>
      <w:r>
        <w:rPr>
          <w:b/>
          <w:color w:val="000000"/>
          <w:sz w:val="28"/>
        </w:rPr>
        <w:t>Основные  направления развития учреждений и организаций культуры и искусства в муниципальном образовании «Город Новоульяновск» Ульяновской области</w:t>
      </w:r>
      <w:r>
        <w:rPr>
          <w:b/>
          <w:sz w:val="28"/>
        </w:rPr>
        <w:t>»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х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/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Задача 3. «</w:t>
            </w:r>
            <w:r>
              <w:rPr>
                <w:color w:val="000000"/>
              </w:rPr>
              <w:t>Развитие учреждений и организаций культуры и искусства в муниципальном образовании «Город Новоульяновск» Ульяновской области</w:t>
            </w:r>
          </w:p>
        </w:tc>
      </w:tr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Количество объектов культуры, на которых выполнен текущий, капитальный ремонт,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 </w:t>
            </w:r>
            <w:r>
              <w:rPr/>
              <w:t>в том числе: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>в год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учреждения культуры клубного типа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детские школы искусств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библиотеки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Количество объектов культуры, в которых проведены мероприятия, направленные на обес-печение пожарной безопасности, антитер-рористической защищен-ности и доступной среды, в том числе: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год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3,</w:t>
            </w:r>
          </w:p>
          <w:p>
            <w:pPr>
              <w:pStyle w:val="Normal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учреждения культуры клубного типа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детские школы искусств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муниципальные библиотеки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</w:rPr>
        <w:t xml:space="preserve">Паспорт комплекса процессного мероприятия </w:t>
      </w:r>
      <w:r>
        <w:rPr>
          <w:b/>
          <w:sz w:val="28"/>
          <w:szCs w:val="28"/>
        </w:rPr>
        <w:t>«Укрепление единства российской нации и этнокультурное развитие народов в муниципальном образовании «Город Новоульяновск Ульяновской области»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  <w:br/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х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9"/>
        <w:gridCol w:w="2946"/>
        <w:gridCol w:w="1844"/>
        <w:gridCol w:w="1274"/>
        <w:gridCol w:w="852"/>
        <w:gridCol w:w="849"/>
        <w:gridCol w:w="852"/>
        <w:gridCol w:w="992"/>
        <w:gridCol w:w="942"/>
        <w:gridCol w:w="900"/>
        <w:gridCol w:w="992"/>
        <w:gridCol w:w="1844"/>
      </w:tblGrid>
      <w:tr>
        <w:trPr/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</w:tr>
      <w:tr>
        <w:trPr/>
        <w:tc>
          <w:tcPr>
            <w:tcW w:w="7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</w:tr>
      <w:tr>
        <w:trPr/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>Задача 4. Укрепление единства российской нации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Количество мероприятий, направленных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 укрепление единства российской нации и этнокультурное развитие народов, профилактику экстремистских проявлений (общее количество)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Единиц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в год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b/>
          <w:sz w:val="28"/>
        </w:rPr>
        <w:t xml:space="preserve">Паспорт комплекса процессного </w:t>
      </w:r>
      <w:r>
        <w:rPr>
          <w:b/>
          <w:sz w:val="28"/>
          <w:szCs w:val="28"/>
        </w:rPr>
        <w:t xml:space="preserve">мероприятия </w:t>
      </w:r>
      <w:r>
        <w:rPr>
          <w:b/>
          <w:sz w:val="28"/>
          <w:szCs w:val="28"/>
          <w:lang w:eastAsia="ar-SA"/>
        </w:rPr>
        <w:t>«Обеспечение реализации муниципальной программы»</w:t>
      </w:r>
      <w:r>
        <w:rPr>
          <w:b/>
          <w:sz w:val="28"/>
          <w:szCs w:val="28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PT Astra Serif" w:ascii="PT Astra Serif" w:hAnsi="PT Astra Serif"/>
                <w:sz w:val="26"/>
                <w:szCs w:val="26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Связь с государственной программой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х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rFonts w:cs="Arial" w:ascii="Arial" w:hAnsi="Arial"/>
          <w:color w:val="444444"/>
        </w:rPr>
        <w:t> </w:t>
      </w:r>
      <w:r>
        <w:rPr>
          <w:sz w:val="28"/>
        </w:rPr>
        <w:t>2. Показатели комплекса процессных мероприятий</w:t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tbl>
      <w:tblPr>
        <w:tblW w:w="15451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38"/>
        <w:gridCol w:w="2948"/>
        <w:gridCol w:w="1842"/>
        <w:gridCol w:w="1276"/>
        <w:gridCol w:w="850"/>
        <w:gridCol w:w="850"/>
        <w:gridCol w:w="851"/>
        <w:gridCol w:w="992"/>
        <w:gridCol w:w="941"/>
        <w:gridCol w:w="902"/>
        <w:gridCol w:w="992"/>
        <w:gridCol w:w="1729"/>
        <w:gridCol w:w="540"/>
      </w:tblGrid>
      <w:tr>
        <w:trPr/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N п/п</w:t>
            </w:r>
          </w:p>
        </w:tc>
        <w:tc>
          <w:tcPr>
            <w:tcW w:w="29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 показателя/задачи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Признак возрастания/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убывания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 xml:space="preserve">Единица измерения </w:t>
            </w:r>
            <w:r>
              <w:rPr>
                <w:sz w:val="22"/>
              </w:rPr>
              <w:t>(по </w:t>
            </w:r>
            <w:r>
              <w:fldChar w:fldCharType="begin"/>
            </w:r>
            <w:r>
              <w:rPr>
                <w:rStyle w:val="Hyperlink"/>
                <w:sz w:val="22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2"/>
              </w:rPr>
              <w:fldChar w:fldCharType="separate"/>
            </w:r>
            <w:r>
              <w:rPr>
                <w:rStyle w:val="Hyperlink"/>
                <w:sz w:val="22"/>
              </w:rPr>
              <w:t>ОКЕИ</w:t>
            </w:r>
            <w:r>
              <w:rPr>
                <w:rStyle w:val="Hyperlink"/>
                <w:sz w:val="22"/>
              </w:rPr>
              <w:fldChar w:fldCharType="end"/>
            </w:r>
            <w:r>
              <w:rPr>
                <w:sz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Базовое значение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Значение показателей по годам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за достижение показателя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  <w:t xml:space="preserve">     </w:t>
            </w:r>
            <w:r>
              <w:rPr/>
              <w:t>2030</w:t>
            </w:r>
          </w:p>
        </w:tc>
        <w:tc>
          <w:tcPr>
            <w:tcW w:w="17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0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149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>Задача 5. Обеспечение деятельности муниципального учреждения «Отдел культуры» администрации муниципального образования «Город Новоульяновск»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>
                <w:szCs w:val="20"/>
              </w:rPr>
              <w:t>Удовлетворенность условиями оказания услуг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Возрастающий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99,5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ind w:right="283"/>
              <w:jc w:val="center"/>
              <w:rPr>
                <w:szCs w:val="20"/>
              </w:rPr>
            </w:pPr>
            <w:r>
              <w:rPr>
                <w:szCs w:val="20"/>
              </w:rPr>
              <w:t>»;</w:t>
            </w:r>
          </w:p>
        </w:tc>
      </w:tr>
    </w:tbl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приложение 2 к муниципальной программе изложить в следующей редакции:</w:t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«Приложение 2</w:t>
      </w:r>
    </w:p>
    <w:p>
      <w:pPr>
        <w:pStyle w:val="Normal"/>
        <w:jc w:val="right"/>
        <w:rPr>
          <w:rFonts w:ascii="Arial" w:hAnsi="Arial" w:cs="Arial"/>
          <w:color w:val="444444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 муниципальной программе</w:t>
      </w:r>
    </w:p>
    <w:p>
      <w:pPr>
        <w:pStyle w:val="formattext"/>
        <w:spacing w:beforeAutospacing="0" w:before="0" w:afterAutospacing="0" w:after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cs="Arial" w:ascii="Arial" w:hAnsi="Arial"/>
          <w:color w:val="444444"/>
        </w:rPr>
      </w:r>
    </w:p>
    <w:p>
      <w:pPr>
        <w:pStyle w:val="formattext"/>
        <w:spacing w:beforeAutospacing="0" w:before="0" w:afterAutospacing="0" w:after="0"/>
        <w:jc w:val="center"/>
        <w:textAlignment w:val="baseline"/>
        <w:rPr>
          <w:sz w:val="28"/>
        </w:rPr>
      </w:pPr>
      <w:r>
        <w:rPr>
          <w:sz w:val="28"/>
        </w:rPr>
        <w:t>Сведения о финансовом обеспечении муниципальной программы</w:t>
      </w:r>
    </w:p>
    <w:tbl>
      <w:tblPr>
        <w:tblW w:w="15420" w:type="dxa"/>
        <w:jc w:val="left"/>
        <w:tblInd w:w="282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val="04a0"/>
      </w:tblPr>
      <w:tblGrid>
        <w:gridCol w:w="709"/>
        <w:gridCol w:w="2897"/>
        <w:gridCol w:w="2238"/>
        <w:gridCol w:w="1923"/>
        <w:gridCol w:w="1002"/>
        <w:gridCol w:w="1089"/>
        <w:gridCol w:w="1085"/>
        <w:gridCol w:w="1090"/>
        <w:gridCol w:w="995"/>
        <w:gridCol w:w="922"/>
        <w:gridCol w:w="959"/>
        <w:gridCol w:w="511"/>
      </w:tblGrid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№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Ответственный исполнитель, соисполнители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Источники</w:t>
            </w:r>
          </w:p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финансирования</w:t>
            </w:r>
          </w:p>
        </w:tc>
        <w:tc>
          <w:tcPr>
            <w:tcW w:w="71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2029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2030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Муниципальная программа «Развитие культуры в муниципальном образовании «Город Новоульяновск» Ульяновской области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1.  Реализация регионального проекта «</w:t>
            </w:r>
            <w:bookmarkStart w:id="0" w:name="_GoBack"/>
            <w:bookmarkEnd w:id="0"/>
            <w:r>
              <w:rPr/>
              <w:t>Семейные ценности и инфраструктура культуры»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1.1.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  <w:t>Создание модельных муниципальных библиотек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15000,0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15000,0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15000,0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15000,0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2. Реализация регионального проекта «Развитие искусства и творчества», обеспечивающий достижение значений показателей и результатов федерального проекта «Развитие искусства и творчества», не входящего в состав национального проекта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2.1.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  <w:t>Обеспечение развития                    и укрепления материально-технической базы домов культуры в населённых пунктах с числом жителей до 50 тыс. человек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МАУК КДЦ «Браво»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393,1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1235,3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1628,4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314,5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988,2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1302,7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78,6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247,1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325,7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3. Реализация регионального проекта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3.1.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</w:rPr>
            </w:pPr>
            <w:r>
              <w:rPr>
                <w:color w:val="000000"/>
              </w:rPr>
              <w:t>Комплектование библиотечных фондов: книги, мультимедийные издания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40,6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43,1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43,9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44,8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172,4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32,5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34,5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35,1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35,8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137,9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8,1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8,6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8,8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9,0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34,5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ind w:left="360"/>
              <w:jc w:val="center"/>
              <w:textAlignment w:val="baseline"/>
              <w:rPr/>
            </w:pPr>
            <w:r>
              <w:rPr/>
              <w:t>4. Комплекс процессных мероприятий «Организация досуга населения, создание условий для повышения качества и разнообразия услуг, предоставляемых  в сфере культуры»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Autospacing="0" w:before="0" w:afterAutospacing="0" w:after="0"/>
              <w:ind w:left="36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4.1.</w:t>
            </w:r>
          </w:p>
        </w:tc>
        <w:tc>
          <w:tcPr>
            <w:tcW w:w="28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Организация и проведение социально-значимых мероприятий областного,  муниципального, межмуниципального уровней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1928,3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500,0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2600,0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2600,0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8928,3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1928,3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500,0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2600,0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2600,0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8928,3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4.2.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Проведение модернизации и укрепление материально-технической базы муниципальных учреждений культуры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МАУК КДЦ «Браво»,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МБУ ДО Новоульяновская ДШИ имени Ю.Ф. Горячева,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ДО Криушинская ДШИ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3041,0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3041,0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6082,0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3041,0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3041,0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6082,0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4.3.</w:t>
            </w:r>
          </w:p>
        </w:tc>
        <w:tc>
          <w:tcPr>
            <w:tcW w:w="2897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Обеспечение деятельности МАУК КДЦ «Браво» по реализации муниципального задания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МАУК КДЦ «Браво»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22278,7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25388,9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26642,0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26054,4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38570,0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41463,00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180397,0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22278,7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25388,9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26642,0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26054,4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38570,0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41463,00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180397,0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4.4.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/>
            </w:pPr>
            <w:r>
              <w:rPr>
                <w:color w:val="000000"/>
                <w:lang w:eastAsia="en-US"/>
              </w:rPr>
              <w:t xml:space="preserve">Обеспечение деятельности </w:t>
            </w:r>
            <w:r>
              <w:rPr/>
              <w:t>МБУ ДО Новоульяновская ДШИ имени Ю.Ф. Горячева</w:t>
            </w:r>
          </w:p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 реализации муниципального задания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МБУ ДО Новоульяновская ДШИ имени Ю.Ф. Горячева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21108,9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22429,3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23712,6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24215,4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33289,0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36285,0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161040,2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</w:p>
        </w:tc>
        <w:tc>
          <w:tcPr>
            <w:tcW w:w="2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21108,9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22429,3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23712,6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24215,4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33289,0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36285,0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161040,2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4.5.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деятельности </w:t>
            </w:r>
            <w:r>
              <w:rPr/>
              <w:t>казённых учреждений культуры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ДО Криушинская ДШИ,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11573,7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13201,5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13487,0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14378,0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19060,0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20770,0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92470,2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</w:p>
        </w:tc>
        <w:tc>
          <w:tcPr>
            <w:tcW w:w="22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11573,7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13201,5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13487,0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14378,0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19060,0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20770,0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92470,2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360"/>
              <w:jc w:val="center"/>
              <w:textAlignment w:val="baseline"/>
              <w:rPr/>
            </w:pPr>
            <w:r>
              <w:rPr/>
              <w:t>5. Комплекс процессных мероприятий «</w:t>
            </w:r>
            <w:r>
              <w:rPr>
                <w:color w:val="000000"/>
              </w:rPr>
              <w:t>Основные  направления развития учреждений и организаций культуры и искусства в муниципальном образовании «Город Новоульяновск» Ульяновской области»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tabs>
                <w:tab w:val="clear" w:pos="709"/>
                <w:tab w:val="left" w:pos="342" w:leader="none"/>
              </w:tabs>
              <w:spacing w:beforeAutospacing="0" w:before="0" w:afterAutospacing="0" w:after="0"/>
              <w:ind w:left="360"/>
              <w:jc w:val="center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5.1.</w:t>
            </w:r>
          </w:p>
        </w:tc>
        <w:tc>
          <w:tcPr>
            <w:tcW w:w="28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Выполнение текущего                              и капитального ремонта, строительство муниципальных учреждений культуры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МАУК КДЦ «Браво»,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МБУ ДО Новоульяновская ДШИ имени Ю.Ф. Горячева,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ДО Криушинская ДШИ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300,0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22529,4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3852,7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26682,1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300,0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22529,4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3852,7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26682,1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5.2.</w:t>
            </w:r>
          </w:p>
        </w:tc>
        <w:tc>
          <w:tcPr>
            <w:tcW w:w="28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Обеспечение пожарной безопасности,  антитеррористической защищенности и доступной среды                         в муниципальных учреждениях культуры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МАУК КДЦ «Браво»,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МУК «Новоульяновские библиотеки»,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МБУ ДО Новоульяновская ДШИ имени Ю.Ф. Горячева,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ДО Криушинская ДШИ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375,0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265,0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477,6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477,6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1595,2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375,0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265,0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477,6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477,6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1595,2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5.3.</w:t>
            </w:r>
          </w:p>
        </w:tc>
        <w:tc>
          <w:tcPr>
            <w:tcW w:w="28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Реализация мероприятий по повышению антитеррористической защищённости объектов (территорий) учреждений культуры и образовательных учреждений в сфере культуры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МУ «Отдел культуры» администрации МО «Город Новоульяновск»,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МБУ ДО Новоульяновская ДШИ имени Ю.Ф. Горячева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150,0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120,0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120,0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360"/>
              <w:jc w:val="center"/>
              <w:rPr/>
            </w:pPr>
            <w:r>
              <w:rPr/>
              <w:t xml:space="preserve">6. Комплекс процессных мероприятий </w:t>
            </w:r>
            <w:r>
              <w:rPr>
                <w:szCs w:val="28"/>
              </w:rPr>
              <w:t>«Укрепление единства российской нации и этнокультурное развитие народов в муниципальном образовании «Город Новоульяновск Ульяновской области»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ind w:left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6.1.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Проведение и  участие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 мероприятиях, направленных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>
                <w:szCs w:val="28"/>
              </w:rPr>
            </w:pPr>
            <w:r>
              <w:rPr/>
              <w:t xml:space="preserve">на укрепление </w:t>
            </w:r>
            <w:r>
              <w:rPr>
                <w:szCs w:val="28"/>
              </w:rPr>
              <w:t>единства российской нации</w:t>
            </w:r>
          </w:p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>
                <w:szCs w:val="28"/>
              </w:rPr>
              <w:t>и этнокультурное развитие народов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МУ «Отдел культуры» администрации МО «Город Новоульяновск»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105,0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705,0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105,0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705,0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90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360"/>
              <w:jc w:val="center"/>
              <w:rPr/>
            </w:pPr>
            <w:r>
              <w:rPr/>
              <w:t xml:space="preserve">7. Комплекс процессных мероприятий </w:t>
            </w:r>
            <w:r>
              <w:rPr>
                <w:lang w:eastAsia="ar-SA"/>
              </w:rPr>
              <w:t>«Обеспечение реализации муниципальной программы»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ind w:left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7.1.</w:t>
            </w:r>
          </w:p>
        </w:tc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Обеспечение функций органов местного самоуправления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МУ «Отдел культуры» администрации МО «Город Новоульяновск»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2435,5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2388,7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2529,2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2678,1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3360,0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3520,0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16911,5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</w:r>
          </w:p>
        </w:tc>
        <w:tc>
          <w:tcPr>
            <w:tcW w:w="2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</w:r>
          </w:p>
        </w:tc>
        <w:tc>
          <w:tcPr>
            <w:tcW w:w="22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2435,5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2388,7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2529,2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2678,1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3360,0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3520,0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16911,5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4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Итого по муниципальной программе</w:t>
              <w:br/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Всего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60295,7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80609,6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68150,0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67370,7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123127,0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112209,3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511762,3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44" w:type="dxa"/>
            <w:gridSpan w:val="3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области, источником которых являются межбюджетные трансферты из областного бюджета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152,5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15349,0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1023,3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35,8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16560,6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44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Бюджетные ассигнования бюджета муниципального образования «Город Новоульяновск» Ульяновской области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60143,2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65260,6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67126,7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67334,9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123127,0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112209,3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  <w:t>495201,7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right="283"/>
              <w:jc w:val="center"/>
              <w:rPr/>
            </w:pPr>
            <w:r>
              <w:rPr/>
              <w:t>».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709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false"/>
        <w:ind w:firstLine="709"/>
        <w:jc w:val="both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  <w:t>2.  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suppressAutoHyphens w:val="false"/>
        <w:ind w:firstLine="709"/>
        <w:jc w:val="both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  <w:t>3. Контроль за исполнением настоящего постановления возложить               на начальника муниципального учреждения «Отдел культуры» администрации муниципального образования «Город Новоульяновск» Емелину А.В.</w:t>
      </w:r>
    </w:p>
    <w:p>
      <w:pPr>
        <w:pStyle w:val="Normal"/>
        <w:suppressAutoHyphens w:val="false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</w:r>
    </w:p>
    <w:p>
      <w:pPr>
        <w:pStyle w:val="Normal"/>
        <w:suppressAutoHyphens w:val="false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</w:r>
    </w:p>
    <w:p>
      <w:pPr>
        <w:pStyle w:val="Normal"/>
        <w:suppressAutoHyphens w:val="false"/>
        <w:rPr>
          <w:rFonts w:eastAsia="DejaVu Sans" w:eastAsiaTheme="minorEastAsia"/>
          <w:sz w:val="28"/>
          <w:szCs w:val="28"/>
          <w:lang w:eastAsia="ru-RU"/>
        </w:rPr>
      </w:pPr>
      <w:r>
        <w:rPr>
          <w:rFonts w:eastAsia="DejaVu Sans" w:eastAsiaTheme="minorEastAsia"/>
          <w:sz w:val="28"/>
          <w:szCs w:val="28"/>
          <w:lang w:eastAsia="ru-RU"/>
        </w:rPr>
      </w:r>
    </w:p>
    <w:p>
      <w:pPr>
        <w:pStyle w:val="Normal"/>
        <w:suppressAutoHyphens w:val="false"/>
        <w:rPr>
          <w:rFonts w:eastAsia="DejaVu Sans" w:eastAsiaTheme="minorEastAsia"/>
          <w:b/>
          <w:sz w:val="28"/>
          <w:szCs w:val="28"/>
          <w:lang w:eastAsia="ru-RU"/>
        </w:rPr>
      </w:pPr>
      <w:r>
        <w:rPr>
          <w:rFonts w:eastAsia="DejaVu Sans" w:eastAsiaTheme="minorEastAsia"/>
          <w:b/>
          <w:sz w:val="28"/>
          <w:szCs w:val="28"/>
          <w:lang w:eastAsia="ru-RU"/>
        </w:rPr>
        <w:t>Глава Администрации                                                                  С.А. Ильюшкин</w:t>
      </w:r>
    </w:p>
    <w:p>
      <w:pPr>
        <w:pStyle w:val="formattext"/>
        <w:spacing w:beforeAutospacing="0" w:before="0" w:afterAutospacing="0" w:after="0"/>
        <w:jc w:val="right"/>
        <w:textAlignment w:val="baseline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1701" w:right="567" w:gutter="0" w:header="567" w:top="841" w:footer="567" w:bottom="1133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imes New Roman CYR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sz w:val="28"/>
        <w:szCs w:val="28"/>
      </w:rPr>
    </w:pPr>
    <w:r>
      <w:rPr>
        <w:sz w:val="28"/>
        <w:szCs w:val="2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18</w:t>
    </w:r>
    <w:r>
      <w:rPr>
        <w:sz w:val="26"/>
        <w:szCs w:val="26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18</w:t>
    </w:r>
    <w:r>
      <w:rPr>
        <w:sz w:val="26"/>
        <w:szCs w:val="26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19</w:t>
    </w:r>
    <w:r>
      <w:rPr>
        <w:sz w:val="24"/>
        <w:szCs w:val="24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22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6d356f"/>
    <w:pPr>
      <w:keepNext w:val="true"/>
      <w:suppressAutoHyphens w:val="false"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ru-RU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c6e31"/>
    <w:pPr>
      <w:keepNext w:val="true"/>
      <w:keepLines/>
      <w:spacing w:before="200" w:after="0"/>
      <w:outlineLvl w:val="3"/>
    </w:pPr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be6841"/>
    <w:rPr>
      <w:rFonts w:ascii="Times New Roman CYR" w:hAnsi="Times New Roman CYR" w:eastAsia="Times New Roman" w:cs="Times New Roman"/>
      <w:sz w:val="28"/>
      <w:szCs w:val="20"/>
      <w:lang w:eastAsia="ru-RU"/>
    </w:rPr>
  </w:style>
  <w:style w:type="character" w:styleId="1" w:customStyle="1">
    <w:name w:val="Заголовок 1 Знак"/>
    <w:basedOn w:val="DefaultParagraphFont"/>
    <w:uiPriority w:val="99"/>
    <w:qFormat/>
    <w:rsid w:val="006d356f"/>
    <w:rPr>
      <w:rFonts w:ascii="Cambria" w:hAnsi="Cambria" w:eastAsia="Times New Roman" w:cs="Cambria"/>
      <w:b/>
      <w:bCs/>
      <w:kern w:val="2"/>
      <w:sz w:val="32"/>
      <w:szCs w:val="32"/>
      <w:lang w:eastAsia="ru-RU"/>
    </w:rPr>
  </w:style>
  <w:style w:type="character" w:styleId="Hyperlink">
    <w:name w:val="Hyperlink"/>
    <w:uiPriority w:val="99"/>
    <w:rsid w:val="00524966"/>
    <w:rPr>
      <w:color w:val="0000FF"/>
      <w:u w:val="single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a51302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4" w:customStyle="1">
    <w:name w:val="Заголовок 4 Знак"/>
    <w:basedOn w:val="DefaultParagraphFont"/>
    <w:uiPriority w:val="9"/>
    <w:semiHidden/>
    <w:qFormat/>
    <w:rsid w:val="000c6e31"/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4F81BD"/>
      <w:sz w:val="24"/>
      <w:szCs w:val="24"/>
      <w:lang w:eastAsia="zh-C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a40cf"/>
    <w:rPr>
      <w:rFonts w:ascii="Tahoma" w:hAnsi="Tahoma" w:eastAsia="Times New Roman" w:cs="Tahoma"/>
      <w:sz w:val="16"/>
      <w:szCs w:val="16"/>
      <w:lang w:eastAsia="zh-CN"/>
    </w:rPr>
  </w:style>
  <w:style w:type="character" w:styleId="ConsPlusNormal" w:customStyle="1">
    <w:name w:val="ConsPlusNormal Знак"/>
    <w:link w:val="ConsPlusNormal1"/>
    <w:qFormat/>
    <w:locked/>
    <w:rsid w:val="00c87c5e"/>
    <w:rPr>
      <w:rFonts w:ascii="Calibri" w:hAnsi="Calibri" w:eastAsia="Times New Roman" w:cs="Calibri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rsid w:val="00c172e1"/>
    <w:pPr>
      <w:spacing w:lineRule="auto" w:line="276" w:before="0" w:after="140"/>
    </w:pPr>
    <w:rPr/>
  </w:style>
  <w:style w:type="paragraph" w:styleId="List">
    <w:name w:val="List"/>
    <w:basedOn w:val="BodyText"/>
    <w:rsid w:val="00c172e1"/>
    <w:pPr/>
    <w:rPr>
      <w:rFonts w:cs="Arial"/>
    </w:rPr>
  </w:style>
  <w:style w:type="paragraph" w:styleId="Caption">
    <w:name w:val="caption"/>
    <w:basedOn w:val="Normal"/>
    <w:qFormat/>
    <w:rsid w:val="00c172e1"/>
    <w:pPr>
      <w:suppressLineNumbers/>
      <w:spacing w:before="120" w:after="120"/>
    </w:pPr>
    <w:rPr>
      <w:rFonts w:cs="Arial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 w:customStyle="1">
    <w:name w:val="Заголовок (user)"/>
    <w:basedOn w:val="Normal"/>
    <w:next w:val="BodyText"/>
    <w:qFormat/>
    <w:rsid w:val="00c172e1"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IndexHeading">
    <w:name w:val="index heading"/>
    <w:basedOn w:val="Normal"/>
    <w:qFormat/>
    <w:rsid w:val="00c172e1"/>
    <w:pPr>
      <w:suppressLineNumbers/>
    </w:pPr>
    <w:rPr>
      <w:rFonts w:cs="Arial"/>
    </w:rPr>
  </w:style>
  <w:style w:type="paragraph" w:styleId="formattext" w:customStyle="1">
    <w:name w:val="formattext"/>
    <w:basedOn w:val="Normal"/>
    <w:qFormat/>
    <w:rsid w:val="00da2397"/>
    <w:pPr>
      <w:suppressAutoHyphens w:val="false"/>
      <w:spacing w:beforeAutospacing="1" w:afterAutospacing="1"/>
    </w:pPr>
    <w:rPr>
      <w:lang w:eastAsia="ru-RU"/>
    </w:rPr>
  </w:style>
  <w:style w:type="paragraph" w:styleId="Style17" w:customStyle="1">
    <w:name w:val="Колонтитул"/>
    <w:basedOn w:val="Normal"/>
    <w:qFormat/>
    <w:rsid w:val="00c172e1"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e6841"/>
    <w:pPr>
      <w:tabs>
        <w:tab w:val="clear" w:pos="709"/>
        <w:tab w:val="center" w:pos="4677" w:leader="none"/>
        <w:tab w:val="right" w:pos="9355" w:leader="none"/>
      </w:tabs>
      <w:suppressAutoHyphens w:val="false"/>
      <w:jc w:val="both"/>
    </w:pPr>
    <w:rPr>
      <w:rFonts w:ascii="Times New Roman CYR" w:hAnsi="Times New Roman CYR"/>
      <w:sz w:val="28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033a95"/>
    <w:pPr>
      <w:spacing w:before="0" w:after="0"/>
      <w:ind w:left="720"/>
      <w:contextualSpacing/>
    </w:pPr>
    <w:rPr/>
  </w:style>
  <w:style w:type="paragraph" w:styleId="user2" w:customStyle="1">
    <w:name w:val="Содержимое таблицы (user)"/>
    <w:basedOn w:val="Normal"/>
    <w:qFormat/>
    <w:rsid w:val="006d356f"/>
    <w:pPr>
      <w:suppressLineNumbers/>
    </w:pPr>
    <w:rPr/>
  </w:style>
  <w:style w:type="paragraph" w:styleId="Footer">
    <w:name w:val="footer"/>
    <w:basedOn w:val="Normal"/>
    <w:link w:val="Style13"/>
    <w:uiPriority w:val="99"/>
    <w:semiHidden/>
    <w:unhideWhenUsed/>
    <w:rsid w:val="00a5130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a40cf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"/>
    <w:qFormat/>
    <w:rsid w:val="00c87c5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9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8829a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28F0B-A8BE-477A-9B6B-4A5EB5AC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14692</TotalTime>
  <Application>LibreOffice/25.8.1.1$Windows_X86_64 LibreOffice_project/54047653041915e595ad4e45cccea684809c77b5</Application>
  <AppVersion>15.0000</AppVersion>
  <Pages>19</Pages>
  <Words>2988</Words>
  <Characters>20852</Characters>
  <CharactersWithSpaces>23202</CharactersWithSpaces>
  <Paragraphs>993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2024-07-08T08:59:00Z</dcterms:created>
  <dc:creator>Anna</dc:creator>
  <dc:description/>
  <dc:language>ru-RU</dc:language>
  <cp:lastModifiedBy/>
  <cp:lastPrinted>2026-03-23T08:43:38Z</cp:lastPrinted>
  <dcterms:modified xsi:type="dcterms:W3CDTF">2026-07-23T14:20:24Z</dcterms:modified>
  <cp:revision>157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