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firstLine="708"/>
        <w:jc w:val="right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540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95"/>
        <w:gridCol w:w="1342"/>
        <w:gridCol w:w="2559"/>
        <w:gridCol w:w="1264"/>
        <w:gridCol w:w="1080"/>
      </w:tblGrid>
      <w:tr>
        <w:trPr>
          <w:trHeight w:val="711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02590" cy="467995"/>
                  <wp:effectExtent l="0" t="0" r="0" b="0"/>
                  <wp:wrapNone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tabs>
                <w:tab w:val="clear" w:pos="720"/>
                <w:tab w:val="left" w:pos="6480" w:leader="none"/>
              </w:tabs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tabs>
                <w:tab w:val="clear" w:pos="720"/>
                <w:tab w:val="left" w:pos="6480" w:leader="none"/>
              </w:tabs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t>муниципального образования «Город Новоульяновск»</w:t>
            </w:r>
          </w:p>
          <w:p>
            <w:pPr>
              <w:pStyle w:val="Normal"/>
              <w:snapToGrid w:val="false"/>
              <w:jc w:val="center"/>
              <w:rPr>
                <w:rFonts w:ascii="PT Astra Serif" w:hAnsi="PT Astra Serif" w:cs="PT Astra Serif"/>
                <w:b/>
                <w:bCs/>
                <w:sz w:val="32"/>
                <w:szCs w:val="32"/>
              </w:rPr>
            </w:pP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napToGrid w:val="false"/>
              <w:jc w:val="center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cs="PT Astra Serif" w:ascii="PT Astra Serif" w:hAnsi="PT Astra Serif"/>
                <w:b/>
                <w:bCs/>
              </w:rPr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jc w:val="center"/>
              <w:rPr>
                <w:rFonts w:ascii="PT Astra Serif" w:hAnsi="PT Astra Serif" w:cs="PT Astra Serif"/>
                <w:b/>
                <w:sz w:val="36"/>
                <w:szCs w:val="36"/>
              </w:rPr>
            </w:pPr>
            <w:r>
              <w:rPr>
                <w:rFonts w:cs="PT Astra Serif" w:ascii="PT Astra Serif" w:hAnsi="PT Astra Serif"/>
                <w:b/>
                <w:spacing w:val="140"/>
                <w:sz w:val="36"/>
                <w:szCs w:val="36"/>
              </w:rPr>
              <w:t>ПОСТАНОВЛЕНИЕ</w:t>
            </w:r>
          </w:p>
        </w:tc>
      </w:tr>
      <w:tr>
        <w:trPr>
          <w:trHeight w:val="46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napToGrid w:val="false"/>
              <w:jc w:val="center"/>
              <w:rPr>
                <w:rFonts w:ascii="PT Astra Serif" w:hAnsi="PT Astra Serif" w:cs="PT Astra Serif"/>
                <w:b/>
                <w:spacing w:val="140"/>
                <w:sz w:val="16"/>
                <w:szCs w:val="16"/>
              </w:rPr>
            </w:pPr>
            <w:r>
              <w:rPr>
                <w:rFonts w:cs="PT Astra Serif" w:ascii="PT Astra Serif" w:hAnsi="PT Astra Serif"/>
                <w:b/>
                <w:spacing w:val="14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center"/>
              <w:rPr>
                <w:rFonts w:ascii="PT Astra Serif" w:hAnsi="PT Astra Serif" w:cs="PT Astra Serif"/>
                <w:b/>
                <w:spacing w:val="140"/>
                <w:sz w:val="16"/>
                <w:szCs w:val="16"/>
              </w:rPr>
            </w:pPr>
            <w:r>
              <w:rPr>
                <w:rFonts w:cs="PT Astra Serif" w:ascii="PT Astra Serif" w:hAnsi="PT Astra Serif"/>
                <w:b/>
                <w:spacing w:val="140"/>
                <w:sz w:val="16"/>
                <w:szCs w:val="16"/>
              </w:rPr>
            </w:r>
          </w:p>
        </w:tc>
      </w:tr>
      <w:tr>
        <w:trPr>
          <w:trHeight w:val="46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napToGrid w:val="false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cs="PT Astra Serif" w:ascii="PT Astra Serif" w:hAnsi="PT Astra Serif"/>
                <w:sz w:val="16"/>
                <w:szCs w:val="16"/>
              </w:rPr>
            </w:r>
          </w:p>
        </w:tc>
      </w:tr>
      <w:tr>
        <w:trPr>
          <w:trHeight w:val="79" w:hRule="atLeast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342" w:type="dxa"/>
            <w:tcBorders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2559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4" w:type="dxa"/>
            <w:tcBorders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trHeight w:val="19" w:hRule="atLeast"/>
        </w:trPr>
        <w:tc>
          <w:tcPr>
            <w:tcW w:w="4637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559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64" w:type="dxa"/>
            <w:tcBorders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 №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9" w:hRule="atLeast"/>
        </w:trPr>
        <w:tc>
          <w:tcPr>
            <w:tcW w:w="4637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59" w:type="dxa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4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80" w:hRule="atLeast"/>
        </w:trPr>
        <w:tc>
          <w:tcPr>
            <w:tcW w:w="9540" w:type="dxa"/>
            <w:gridSpan w:val="5"/>
            <w:tcBorders/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pacing w:val="-1"/>
          <w:sz w:val="28"/>
          <w:szCs w:val="28"/>
        </w:rPr>
        <w:t>Об утверждении</w:t>
      </w:r>
      <w:r>
        <w:rPr>
          <w:rFonts w:cs="Times New Roman"/>
          <w:b/>
          <w:bCs/>
          <w:spacing w:val="-1"/>
          <w:sz w:val="28"/>
          <w:szCs w:val="28"/>
        </w:rPr>
        <w:t xml:space="preserve"> положения о муниципальной</w:t>
      </w:r>
      <w:r>
        <w:rPr>
          <w:b/>
          <w:bCs/>
          <w:sz w:val="28"/>
          <w:szCs w:val="28"/>
        </w:rPr>
        <w:t xml:space="preserve"> антинаркотической комиссии муниципального образования «Город Новоульяновск» 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>Ульяновской области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Указом Президента Российской Федерации от                          18 октября 2007 года № 1374 «О дополнительных мерах по противодействию незаконному обороту наркотических средств, психотропных веществ и их прекурсоров», с пунктом 39 части 1 статьи 30 Устава муниципального образования  «Город Новоульяновск» Ульяновской области, в целях противодействия незаконному обороту наркотических средств, психотропных веществ и их прекурсоров на территории муниципального образования «Город Новоульяновск» Ульяновской области, Администрация муниципального образования  «Город Новоульяновск» Ульяновской области   постановляет: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1.Утвердить положение о  муниципальной антинаркотической комиссии муниципального образования «Город Новоульяновск» Ульяновской области (Приложение).</w:t>
      </w:r>
    </w:p>
    <w:p>
      <w:pPr>
        <w:pStyle w:val="Normal"/>
        <w:overflowPunct w:val="true"/>
        <w:spacing w:before="0" w:after="20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Настоящее постановление вступает в силу</w:t>
      </w:r>
      <w:r>
        <w:rPr>
          <w:rFonts w:eastAsia="Times New Roman" w:cs="Times New Roman"/>
          <w:color w:val="000000"/>
          <w:sz w:val="28"/>
          <w:szCs w:val="28"/>
        </w:rPr>
        <w:t xml:space="preserve"> на следующий день после дня его официального опубликования.</w:t>
      </w:r>
    </w:p>
    <w:p>
      <w:pPr>
        <w:pStyle w:val="Normal"/>
        <w:spacing w:lineRule="auto" w:line="240" w:before="0" w:after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3. Контроль за исполнением настоящего постановления оставляю                      за собой.</w:t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Глава Администрации                                                                   С.А.Ильюшкин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fmt="decimal"/>
          <w:formProt w:val="false"/>
          <w:titlePg/>
          <w:textDirection w:val="lrTb"/>
          <w:docGrid w:type="default" w:linePitch="600" w:charSpace="0"/>
        </w:sect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sz w:val="28"/>
          <w:szCs w:val="28"/>
        </w:rPr>
        <w:t xml:space="preserve">            </w:t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ind w:hanging="0" w:left="0"/>
        <w:jc w:val="right"/>
        <w:rPr>
          <w:lang w:val="ru-RU"/>
        </w:rPr>
      </w:pPr>
      <w:r>
        <w:rPr>
          <w:lang w:val="ru-RU"/>
        </w:rPr>
        <w:t>Приложение</w:t>
      </w:r>
    </w:p>
    <w:p>
      <w:pPr>
        <w:pStyle w:val="Normal"/>
        <w:bidi w:val="0"/>
        <w:jc w:val="right"/>
        <w:rPr>
          <w:lang w:val="ru-RU"/>
        </w:rPr>
      </w:pPr>
      <w:r>
        <w:rPr>
          <w:lang w:val="ru-RU"/>
        </w:rPr>
        <w:t>к постановлению</w:t>
      </w:r>
    </w:p>
    <w:p>
      <w:pPr>
        <w:pStyle w:val="Normal"/>
        <w:bidi w:val="0"/>
        <w:jc w:val="right"/>
        <w:rPr>
          <w:lang w:val="ru-RU"/>
        </w:rPr>
      </w:pPr>
      <w:r>
        <w:rPr>
          <w:lang w:val="ru-RU"/>
        </w:rPr>
        <w:t>Администрации</w:t>
      </w:r>
    </w:p>
    <w:p>
      <w:pPr>
        <w:pStyle w:val="Normal"/>
        <w:bidi w:val="0"/>
        <w:jc w:val="right"/>
        <w:rPr>
          <w:lang w:val="ru-RU"/>
        </w:rPr>
      </w:pPr>
      <w:r>
        <w:rPr>
          <w:lang w:val="ru-RU"/>
        </w:rPr>
        <w:t>муниципального образования</w:t>
      </w:r>
    </w:p>
    <w:p>
      <w:pPr>
        <w:pStyle w:val="Normal"/>
        <w:bidi w:val="0"/>
        <w:jc w:val="right"/>
        <w:rPr>
          <w:lang w:val="ru-RU"/>
        </w:rPr>
      </w:pPr>
      <w:r>
        <w:rPr>
          <w:lang w:val="ru-RU"/>
        </w:rPr>
        <w:t>«Город Новоульяновск»</w:t>
      </w:r>
    </w:p>
    <w:p>
      <w:pPr>
        <w:pStyle w:val="Normal"/>
        <w:bidi w:val="0"/>
        <w:jc w:val="right"/>
        <w:rPr>
          <w:lang w:val="ru-RU"/>
        </w:rPr>
      </w:pPr>
      <w:r>
        <w:rPr>
          <w:lang w:val="ru-RU"/>
        </w:rPr>
        <w:t>Ульяновской области</w:t>
      </w:r>
    </w:p>
    <w:p>
      <w:pPr>
        <w:pStyle w:val="Normal"/>
        <w:bidi w:val="0"/>
        <w:jc w:val="right"/>
        <w:rPr>
          <w:lang w:val="ru-RU"/>
        </w:rPr>
      </w:pPr>
      <w:r>
        <w:rPr>
          <w:lang w:val="ru-RU"/>
        </w:rPr>
        <w:t>от    08   июня  2026г. №  440-П</w:t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ConsPlusTitle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>
      <w:pPr>
        <w:pStyle w:val="ConsPlusTitle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ConsPlusTitle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>
      <w:pPr>
        <w:pStyle w:val="ConsPlusTitle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 муниципальной антинаркотической комиссии</w:t>
      </w:r>
    </w:p>
    <w:p>
      <w:pPr>
        <w:pStyle w:val="ConsPlusTitle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муниципального образования </w:t>
      </w:r>
    </w:p>
    <w:p>
      <w:pPr>
        <w:pStyle w:val="ConsPlusTitle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«Город Новоульяновск» Ульяновской области</w:t>
      </w:r>
    </w:p>
    <w:p>
      <w:pPr>
        <w:pStyle w:val="ConsPlusNormal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ConsPlusTitle"/>
        <w:ind w:firstLine="540"/>
        <w:jc w:val="both"/>
        <w:rPr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1. Муниципальная антинаркотическая комиссия (далее - комиссия) является органом, обеспечивающим координацию деятельности подразделений территориальных органов федеральных органов исполнительной власти, осуществляющих свою деятельность на территории муниципального образования «Горд Новоульяновск» Ульяновской области, и органов местного самоуправления по противодействию незаконному обороту наркотических средств, психотропных веществ и их прекурсоров.</w:t>
      </w:r>
    </w:p>
    <w:p>
      <w:pPr>
        <w:pStyle w:val="ConsPlusNormal"/>
        <w:ind w:firstLine="540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 xml:space="preserve">2. Комиссия в своей деятельности руководствуется </w:t>
      </w:r>
      <w:hyperlink r:id="rId6">
        <w:r>
          <w:rPr>
            <w:rStyle w:val="Style9"/>
            <w:rFonts w:ascii="Times New Roman" w:hAnsi="Times New Roman"/>
            <w:sz w:val="28"/>
            <w:szCs w:val="28"/>
            <w:lang w:val="ru-RU"/>
          </w:rPr>
          <w:t>Конституцией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Ульяновской области, решениями Государственного антинаркотического комитета, решениями антинаркотической комиссии Ульяновской области, а также настоящим Положением.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Комиссия осуществляет свою деятельность во взаимодействии с антинаркотической комиссией Ульяновской области, подразделениями территориальных органов федеральных органов исполнительной власти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осуществляющих свою деятельность на территории муниципального образования «Город Новоульяновск» Ульяновской области, исполнительными органами Ульяновской области, органами местного самоуправления, общественными объединениями и организациями, действующими на территории муниципального образования.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Основными задачами комиссии являются: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участие в формировании и реализации на территории муниципального образования государственной политики в области противодействия незаконному обороту наркотических средств, психотропных веществ и их прекурсоров.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координация деятельности подразделений территориальных органов федеральных органов исполнительной власти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осуществляющих свою деятельность на территории муниципального образования «Город Новоульяновск» Ульяновской области, и органов местного самоуправления по противодействию незаконному обороту наркотических средств, психотропных веществ и их прекурсоров, а также организации их взаимодействия с общественными объединениями и организациями, действующими на территории муниципального образования.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а также на повышение эффективности реализации муниципальных программ в части противодействия незаконному обороту наркотических средств, психотропных веществ и их прекурсоров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г) анализ эффективности деятельности органов местного самоуправления по противодействию незаконному обороту наркотических средств, психотропных веществ и их прекурсоров.</w:t>
      </w:r>
    </w:p>
    <w:p>
      <w:pPr>
        <w:pStyle w:val="ConsPlusNormal"/>
        <w:ind w:firstLine="540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 xml:space="preserve">д) решение иных задач, предусмотренных </w:t>
      </w:r>
      <w:hyperlink r:id="rId7">
        <w:r>
          <w:rPr>
            <w:rStyle w:val="Style9"/>
            <w:rFonts w:ascii="Times New Roman" w:hAnsi="Times New Roman"/>
            <w:sz w:val="28"/>
            <w:szCs w:val="28"/>
            <w:lang w:val="ru-RU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Российской Федерации о наркотических средствах, психотропных веществах и их прекурсорах.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Для осуществления своих задач комиссия имеет право: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принимать в пределах своей компетенции решения, касающиеся совершенствования деятельности органов местного самоуправления по противодействию незаконному обороту наркотических средств, психотропных веществ и их прекурсоров, а также осуществлять контроль за исполнением этих решений на территории муниципального образования;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 запрашивать и получать в установленном законодательством Российской Федерации порядке необходимые материалы и информацию от подразделений территориальных органов федеральных органов исполнительной власти, осуществляющих свою деятельность на территории муниципального образования «Город Новоульяновск» Ульяновской области, органов местного самоуправления, и должностных лиц муниципального образования, общественных объединений, организаций, действующих на территории муниципального образования;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г) привлекать для участия в работе комиссии должностных лиц и специалистов подразделений территориальных органов федеральных органов исполнительной власти, осуществляющих свою деятельность на территории муниципального образования «Город Новоульяновск» Ульяновской области, органов местного самоуправления, а также представителей общественных объединений и организаций, действующих на территории муниципального образования (с их согласия).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Комиссия осуществляет свою деятельность на плановой основе. План заседаний комиссии утверждается председателем комиссии.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 Заседания комиссии проводятся не реже одного раза в квартал. В случае необходимости, по решению председателя комиссии, могут проводиться внеочередные заседания комиссии.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 Присутствие на заседании комиссии председателя комиссии и других членов комиссии обязательно.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Члены комиссии не вправе делегировать свои полномочия иным лицам. В случае невозможности присутствия члена комиссии на заседании он обязан заблаговременно известить об этом председателя комиссии.</w:t>
      </w:r>
    </w:p>
    <w:p>
      <w:pPr>
        <w:pStyle w:val="ConsPlusNormal"/>
        <w:ind w:firstLine="53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Руководство деятельностью комиссии осуществляет Глава Администрации муниципального образования.</w:t>
      </w:r>
    </w:p>
    <w:p>
      <w:pPr>
        <w:pStyle w:val="ConsPlusNormal"/>
        <w:ind w:firstLine="53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Руководитель подразделения МВД России, осуществляющего свою деятельность на территории муниципального образования «Город Новоульяновск» Ульяновской области, является заместителем председателя комиссии.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Члены комиссии обладают равными правами при обсуждении рассматриваемых на заседании вопросов.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Лицо, исполняющее обязанности руководителя органа местного самоуправления или иного должностного лица муниципального образования, являющегося членом комиссии, принимает участие в заседании комиссии с правом совещательного голоса.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Заседание комиссии считается правомочным, если на нём присутствует более половины её членов.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равном количестве голосов право решающего голоса принадлежит председательствующему на заседании.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зависимости от рассматриваемых вопросов к участию в заседаниях комиссии могут привлекаться иные лица.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 Решение комиссии оформляется протоколом в течение 5 дней, который подписывается председателем комиссии, и рассылается заинтересованным членам комиссии, организациям и должностным лицам в срок не позднее  10 дней.</w:t>
      </w:r>
    </w:p>
    <w:p>
      <w:pPr>
        <w:pStyle w:val="NormalWeb"/>
        <w:bidi w:val="0"/>
        <w:spacing w:beforeAutospacing="0" w:before="0" w:afterAutospacing="0" w:after="0"/>
        <w:ind w:firstLine="851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Для реализации решений комиссии могут подготавливаться проекты правовых актов администрации муниципального образования «Город Новоульяновск» Ульяновской области, которые представляются на рассмотрение в установленном порядке.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 Организационное обеспечение деятельности комиссии осуществляется отделом по делам гражданской обороны, чрезвычайных ситуаций и взаимодействию с правоохранительными органами Администрации муниципального  образования «Город Новоульяновск» Ульяновской области   (далее - структурное подразделение), ответственным за организацию этой работы — ведущий специалист отдела по делам гражданской обороны, чрезвычайных ситуаций и взаимодействию с правоохранительными органами Администрации муниципального  образования «Город Новоульяновск» Ульяновской области (секретарь комиссии).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 Основными задачами структурного подразделения Администрации муниципального образования, осуществляющего обеспечение деятельности комиссии, являются: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разработка проекта плана заседаний комиссии;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обеспечение подготовки и проведения заседаний комиссии;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 обеспечение контроля за исполнением решений комиссии, решений антинаркотической комиссии Ульяновской области;</w:t>
      </w:r>
    </w:p>
    <w:p>
      <w:pPr>
        <w:pStyle w:val="ConsPlusNormal"/>
        <w:ind w:hanging="0" w:left="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>г) обеспечение взаимодействия комиссии с аппаратом антинаркотической комиссии Ульяновской области;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д) организация и координация деятельности рабочих групп комиссии;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е) организация и ведение делопроизводства комиссии;</w:t>
      </w:r>
    </w:p>
    <w:p>
      <w:pPr>
        <w:pStyle w:val="ConsPlusNormal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ж) информационно-аналитическое обеспечение деятельности комиссии.</w:t>
      </w:r>
    </w:p>
    <w:p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ConsPlusNormal"/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</w:rPr>
        <w:t>__</w:t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rPr>
          <w:lang w:val="ru-RU"/>
        </w:rPr>
      </w:pPr>
      <w:r>
        <w:rPr>
          <w:lang w:val="ru-RU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701" w:right="567" w:gutter="0" w:header="567" w:top="1133" w:footer="0" w:bottom="567"/>
      <w:pgNumType w:start="1"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875"/>
        <w:tab w:val="clear" w:pos="9751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  <w:t>000440</w:t>
    </w:r>
  </w:p>
  <w:p>
    <w:pPr>
      <w:pStyle w:val="Footer"/>
      <w:suppressLineNumbers/>
      <w:tabs>
        <w:tab w:val="clear" w:pos="4875"/>
        <w:tab w:val="clear" w:pos="9751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  <w:b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875"/>
        <w:tab w:val="clear" w:pos="9751"/>
        <w:tab w:val="center" w:pos="3968" w:leader="none"/>
        <w:tab w:val="right" w:pos="7937" w:leader="none"/>
      </w:tabs>
      <w:ind w:hanging="0" w:left="0" w:right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668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sid w:val="00a37f5b"/>
    <w:rPr>
      <w:color w:val="000000"/>
    </w:rPr>
  </w:style>
  <w:style w:type="character" w:styleId="WW8Num2z1" w:customStyle="1">
    <w:name w:val="WW8Num2z1"/>
    <w:qFormat/>
    <w:rsid w:val="00a37f5b"/>
    <w:rPr/>
  </w:style>
  <w:style w:type="character" w:styleId="WW8Num3z0" w:customStyle="1">
    <w:name w:val="WW8Num3z0"/>
    <w:qFormat/>
    <w:rsid w:val="00a37f5b"/>
    <w:rPr>
      <w:color w:val="000000"/>
    </w:rPr>
  </w:style>
  <w:style w:type="character" w:styleId="WW8Num4z0" w:customStyle="1">
    <w:name w:val="WW8Num4z0"/>
    <w:qFormat/>
    <w:rsid w:val="00a37f5b"/>
    <w:rPr>
      <w:color w:val="000000"/>
    </w:rPr>
  </w:style>
  <w:style w:type="character" w:styleId="WW8Num4z1" w:customStyle="1">
    <w:name w:val="WW8Num4z1"/>
    <w:qFormat/>
    <w:rsid w:val="00a37f5b"/>
    <w:rPr/>
  </w:style>
  <w:style w:type="character" w:styleId="WW8Num5z0" w:customStyle="1">
    <w:name w:val="WW8Num5z0"/>
    <w:qFormat/>
    <w:rsid w:val="00a37f5b"/>
    <w:rPr>
      <w:rFonts w:ascii="Symbol" w:hAnsi="Symbol" w:cs="Symbol"/>
    </w:rPr>
  </w:style>
  <w:style w:type="character" w:styleId="WW8Num5z1" w:customStyle="1">
    <w:name w:val="WW8Num5z1"/>
    <w:qFormat/>
    <w:rsid w:val="00a37f5b"/>
    <w:rPr>
      <w:rFonts w:ascii="Courier New" w:hAnsi="Courier New" w:cs="Courier New"/>
    </w:rPr>
  </w:style>
  <w:style w:type="character" w:styleId="WW8Num5z2" w:customStyle="1">
    <w:name w:val="WW8Num5z2"/>
    <w:qFormat/>
    <w:rsid w:val="00a37f5b"/>
    <w:rPr>
      <w:rFonts w:ascii="Wingdings" w:hAnsi="Wingdings" w:cs="Wingdings"/>
    </w:rPr>
  </w:style>
  <w:style w:type="character" w:styleId="WW8Num6z0" w:customStyle="1">
    <w:name w:val="WW8Num6z0"/>
    <w:qFormat/>
    <w:rsid w:val="00a37f5b"/>
    <w:rPr>
      <w:color w:val="000000"/>
    </w:rPr>
  </w:style>
  <w:style w:type="character" w:styleId="WW8Num7z0" w:customStyle="1">
    <w:name w:val="WW8Num7z0"/>
    <w:qFormat/>
    <w:rsid w:val="00a37f5b"/>
    <w:rPr>
      <w:color w:val="000000"/>
    </w:rPr>
  </w:style>
  <w:style w:type="character" w:styleId="WW8Num7z1" w:customStyle="1">
    <w:name w:val="WW8Num7z1"/>
    <w:qFormat/>
    <w:rsid w:val="00a37f5b"/>
    <w:rPr/>
  </w:style>
  <w:style w:type="character" w:styleId="WW8Num8z0" w:customStyle="1">
    <w:name w:val="WW8Num8z0"/>
    <w:qFormat/>
    <w:rsid w:val="00a37f5b"/>
    <w:rPr>
      <w:rFonts w:ascii="Symbol" w:hAnsi="Symbol" w:cs="Symbol"/>
    </w:rPr>
  </w:style>
  <w:style w:type="character" w:styleId="WW8Num8z1" w:customStyle="1">
    <w:name w:val="WW8Num8z1"/>
    <w:qFormat/>
    <w:rsid w:val="00a37f5b"/>
    <w:rPr>
      <w:rFonts w:ascii="Courier New" w:hAnsi="Courier New" w:cs="Courier New"/>
    </w:rPr>
  </w:style>
  <w:style w:type="character" w:styleId="WW8Num8z2" w:customStyle="1">
    <w:name w:val="WW8Num8z2"/>
    <w:qFormat/>
    <w:rsid w:val="00a37f5b"/>
    <w:rPr>
      <w:rFonts w:ascii="Wingdings" w:hAnsi="Wingdings" w:cs="Wingdings"/>
    </w:rPr>
  </w:style>
  <w:style w:type="character" w:styleId="WW8Num9z0" w:customStyle="1">
    <w:name w:val="WW8Num9z0"/>
    <w:qFormat/>
    <w:rsid w:val="00a37f5b"/>
    <w:rPr>
      <w:color w:val="000000"/>
    </w:rPr>
  </w:style>
  <w:style w:type="character" w:styleId="WW8Num10z0" w:customStyle="1">
    <w:name w:val="WW8Num10z0"/>
    <w:qFormat/>
    <w:rsid w:val="00a37f5b"/>
    <w:rPr>
      <w:rFonts w:ascii="Symbol" w:hAnsi="Symbol" w:cs="Symbol"/>
      <w:color w:val="000000"/>
    </w:rPr>
  </w:style>
  <w:style w:type="character" w:styleId="WW8Num12z0" w:customStyle="1">
    <w:name w:val="WW8Num12z0"/>
    <w:qFormat/>
    <w:rsid w:val="00a37f5b"/>
    <w:rPr>
      <w:color w:val="000000"/>
    </w:rPr>
  </w:style>
  <w:style w:type="character" w:styleId="WW8Num13z0" w:customStyle="1">
    <w:name w:val="WW8Num13z0"/>
    <w:qFormat/>
    <w:rsid w:val="00a37f5b"/>
    <w:rPr/>
  </w:style>
  <w:style w:type="character" w:styleId="WW8Num14z0" w:customStyle="1">
    <w:name w:val="WW8Num14z0"/>
    <w:qFormat/>
    <w:rsid w:val="00a37f5b"/>
    <w:rPr>
      <w:rFonts w:ascii="Symbol" w:hAnsi="Symbol" w:cs="Symbol"/>
    </w:rPr>
  </w:style>
  <w:style w:type="character" w:styleId="WW8Num14z1" w:customStyle="1">
    <w:name w:val="WW8Num14z1"/>
    <w:qFormat/>
    <w:rsid w:val="00a37f5b"/>
    <w:rPr>
      <w:rFonts w:ascii="Courier New" w:hAnsi="Courier New" w:cs="Courier New"/>
    </w:rPr>
  </w:style>
  <w:style w:type="character" w:styleId="WW8Num14z2" w:customStyle="1">
    <w:name w:val="WW8Num14z2"/>
    <w:qFormat/>
    <w:rsid w:val="00a37f5b"/>
    <w:rPr>
      <w:rFonts w:ascii="Wingdings" w:hAnsi="Wingdings" w:cs="Wingdings"/>
    </w:rPr>
  </w:style>
  <w:style w:type="character" w:styleId="2" w:customStyle="1">
    <w:name w:val="Основной шрифт абзаца2"/>
    <w:qFormat/>
    <w:rsid w:val="00a37f5b"/>
    <w:rPr/>
  </w:style>
  <w:style w:type="character" w:styleId="Absatz-Standardschriftart" w:customStyle="1">
    <w:name w:val="Absatz-Standardschriftart"/>
    <w:qFormat/>
    <w:rsid w:val="00a37f5b"/>
    <w:rPr/>
  </w:style>
  <w:style w:type="character" w:styleId="WW-Absatz-Standardschriftart" w:customStyle="1">
    <w:name w:val="WW-Absatz-Standardschriftart"/>
    <w:qFormat/>
    <w:rsid w:val="00a37f5b"/>
    <w:rPr/>
  </w:style>
  <w:style w:type="character" w:styleId="WW-Absatz-Standardschriftart1" w:customStyle="1">
    <w:name w:val="WW-Absatz-Standardschriftart1"/>
    <w:qFormat/>
    <w:rsid w:val="00a37f5b"/>
    <w:rPr/>
  </w:style>
  <w:style w:type="character" w:styleId="1" w:customStyle="1">
    <w:name w:val="Основной шрифт абзаца1"/>
    <w:qFormat/>
    <w:rsid w:val="00a37f5b"/>
    <w:rPr/>
  </w:style>
  <w:style w:type="character" w:styleId="Hyperlink">
    <w:name w:val="Hyperlink"/>
    <w:rsid w:val="00a37f5b"/>
    <w:rPr>
      <w:color w:val="0000FF"/>
      <w:u w:val="single"/>
    </w:rPr>
  </w:style>
  <w:style w:type="character" w:styleId="Strong">
    <w:name w:val="Strong"/>
    <w:qFormat/>
    <w:rsid w:val="00a37f5b"/>
    <w:rPr>
      <w:b/>
      <w:bCs/>
    </w:rPr>
  </w:style>
  <w:style w:type="character" w:styleId="Emphasis">
    <w:name w:val="Emphasis"/>
    <w:qFormat/>
    <w:rsid w:val="00a37f5b"/>
    <w:rPr>
      <w:i/>
      <w:iCs/>
    </w:rPr>
  </w:style>
  <w:style w:type="paragraph" w:styleId="Style14" w:customStyle="1">
    <w:name w:val="Заголовок"/>
    <w:basedOn w:val="Normal"/>
    <w:next w:val="BodyText"/>
    <w:qFormat/>
    <w:rsid w:val="00a37f5b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rsid w:val="00a37f5b"/>
    <w:pPr>
      <w:spacing w:before="0" w:after="120"/>
    </w:pPr>
    <w:rPr/>
  </w:style>
  <w:style w:type="paragraph" w:styleId="List">
    <w:name w:val="List"/>
    <w:basedOn w:val="BodyText"/>
    <w:rsid w:val="00a37f5b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11" w:customStyle="1">
    <w:name w:val="Заголовок 11"/>
    <w:basedOn w:val="Style14"/>
    <w:next w:val="BodyText"/>
    <w:qFormat/>
    <w:rsid w:val="00a37f5b"/>
    <w:pPr>
      <w:tabs>
        <w:tab w:val="clear" w:pos="720"/>
        <w:tab w:val="left" w:pos="0" w:leader="none"/>
      </w:tabs>
      <w:ind w:hanging="432" w:left="432"/>
      <w:outlineLvl w:val="0"/>
    </w:pPr>
    <w:rPr>
      <w:rFonts w:ascii="Times New Roman" w:hAnsi="Times New Roman" w:eastAsia="SimSun;宋体"/>
      <w:b/>
      <w:bCs/>
      <w:sz w:val="48"/>
      <w:szCs w:val="48"/>
    </w:rPr>
  </w:style>
  <w:style w:type="paragraph" w:styleId="12" w:customStyle="1">
    <w:name w:val="Название объекта1"/>
    <w:basedOn w:val="Normal"/>
    <w:qFormat/>
    <w:rsid w:val="00a37f5b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a37f5b"/>
    <w:pPr>
      <w:suppressLineNumbers/>
    </w:pPr>
    <w:rPr>
      <w:rFonts w:cs="Arial"/>
    </w:rPr>
  </w:style>
  <w:style w:type="paragraph" w:styleId="caption1" w:customStyle="1">
    <w:name w:val="caption1"/>
    <w:basedOn w:val="Normal"/>
    <w:qFormat/>
    <w:rsid w:val="00a37f5b"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rsid w:val="00a37f5b"/>
    <w:pPr>
      <w:suppressLineNumbers/>
      <w:spacing w:before="120" w:after="120"/>
    </w:pPr>
    <w:rPr>
      <w:rFonts w:cs="Arial"/>
      <w:i/>
      <w:iCs/>
    </w:rPr>
  </w:style>
  <w:style w:type="paragraph" w:styleId="21" w:customStyle="1">
    <w:name w:val="Указатель2"/>
    <w:basedOn w:val="Normal"/>
    <w:qFormat/>
    <w:rsid w:val="00a37f5b"/>
    <w:pPr>
      <w:suppressLineNumbers/>
    </w:pPr>
    <w:rPr>
      <w:rFonts w:cs="Arial"/>
    </w:rPr>
  </w:style>
  <w:style w:type="paragraph" w:styleId="Caption111" w:customStyle="1">
    <w:name w:val="Caption111"/>
    <w:basedOn w:val="Normal"/>
    <w:qFormat/>
    <w:rsid w:val="00a37f5b"/>
    <w:pPr>
      <w:suppressLineNumbers/>
      <w:spacing w:before="120" w:after="120"/>
    </w:pPr>
    <w:rPr>
      <w:rFonts w:cs="Arial"/>
      <w:i/>
      <w:iCs/>
    </w:rPr>
  </w:style>
  <w:style w:type="paragraph" w:styleId="13" w:customStyle="1">
    <w:name w:val="Указатель1"/>
    <w:basedOn w:val="Normal"/>
    <w:qFormat/>
    <w:rsid w:val="00a37f5b"/>
    <w:pPr>
      <w:suppressLineNumbers/>
    </w:pPr>
    <w:rPr>
      <w:rFonts w:cs="Mangal"/>
    </w:rPr>
  </w:style>
  <w:style w:type="paragraph" w:styleId="BalloonText">
    <w:name w:val="Balloon Text"/>
    <w:basedOn w:val="Normal"/>
    <w:qFormat/>
    <w:rsid w:val="00a37f5b"/>
    <w:pPr/>
    <w:rPr>
      <w:rFonts w:ascii="Tahoma" w:hAnsi="Tahoma" w:cs="Tahoma"/>
      <w:sz w:val="16"/>
      <w:szCs w:val="16"/>
    </w:rPr>
  </w:style>
  <w:style w:type="paragraph" w:styleId="Style16" w:customStyle="1">
    <w:name w:val="Содержимое таблицы"/>
    <w:basedOn w:val="Normal"/>
    <w:qFormat/>
    <w:rsid w:val="00a37f5b"/>
    <w:pPr>
      <w:suppressLineNumbers/>
    </w:pPr>
    <w:rPr/>
  </w:style>
  <w:style w:type="paragraph" w:styleId="Style17" w:customStyle="1">
    <w:name w:val="Заголовок таблицы"/>
    <w:basedOn w:val="Style16"/>
    <w:qFormat/>
    <w:rsid w:val="00a37f5b"/>
    <w:pPr>
      <w:jc w:val="center"/>
    </w:pPr>
    <w:rPr>
      <w:b/>
      <w:bCs/>
    </w:rPr>
  </w:style>
  <w:style w:type="paragraph" w:styleId="ConsPlusDocList" w:customStyle="1">
    <w:name w:val="ConsPlusDocList"/>
    <w:next w:val="Normal"/>
    <w:qFormat/>
    <w:rsid w:val="00a37f5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ConsPlusCell" w:customStyle="1">
    <w:name w:val="ConsPlusCell"/>
    <w:next w:val="Normal"/>
    <w:qFormat/>
    <w:rsid w:val="00a37f5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ConsPlusNonformat" w:customStyle="1">
    <w:name w:val="ConsPlusNonformat"/>
    <w:next w:val="Normal"/>
    <w:qFormat/>
    <w:rsid w:val="00a37f5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zh-CN" w:bidi="hi-IN"/>
    </w:rPr>
  </w:style>
  <w:style w:type="paragraph" w:styleId="ConsPlusTitle" w:customStyle="1">
    <w:name w:val="ConsPlusTitle"/>
    <w:next w:val="Normal"/>
    <w:qFormat/>
    <w:rsid w:val="00a37f5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val="ru-RU" w:eastAsia="zh-CN" w:bidi="hi-IN"/>
    </w:rPr>
  </w:style>
  <w:style w:type="paragraph" w:styleId="Style18" w:customStyle="1">
    <w:name w:val="Знак"/>
    <w:basedOn w:val="Normal"/>
    <w:qFormat/>
    <w:rsid w:val="00a37f5b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qFormat/>
    <w:rsid w:val="00a37f5b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rsid w:val="00a37f5b"/>
    <w:pPr>
      <w:spacing w:before="280" w:after="280"/>
    </w:pPr>
    <w:rPr/>
  </w:style>
  <w:style w:type="paragraph" w:styleId="FR1" w:customStyle="1">
    <w:name w:val="FR1"/>
    <w:uiPriority w:val="3"/>
    <w:qFormat/>
    <w:rsid w:val="002a3060"/>
    <w:pPr>
      <w:widowControl w:val="false"/>
      <w:suppressAutoHyphens w:val="true"/>
      <w:bidi w:val="0"/>
      <w:spacing w:before="40" w:after="0"/>
      <w:jc w:val="left"/>
    </w:pPr>
    <w:rPr>
      <w:rFonts w:ascii="Arial" w:hAnsi="Arial" w:eastAsia="Times New Roman" w:cs="Arial"/>
      <w:color w:val="auto"/>
      <w:kern w:val="0"/>
      <w:sz w:val="36"/>
      <w:szCs w:val="36"/>
      <w:lang w:val="ru-RU" w:eastAsia="zh-CN" w:bidi="ar-SA"/>
    </w:rPr>
  </w:style>
  <w:style w:type="paragraph" w:styleId="user2">
    <w:name w:val="Колонтитулы (user)"/>
    <w:basedOn w:val="Normal"/>
    <w:qFormat/>
    <w:pPr>
      <w:suppressLineNumbers/>
      <w:tabs>
        <w:tab w:val="clear" w:pos="720"/>
        <w:tab w:val="center" w:pos="4875" w:leader="none"/>
        <w:tab w:val="right" w:pos="9751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Footer">
    <w:name w:val="footer"/>
    <w:basedOn w:val="user2"/>
    <w:pPr>
      <w:suppressLineNumbers/>
    </w:pPr>
    <w:rPr/>
  </w:style>
  <w:style w:type="paragraph" w:styleId="Header">
    <w:name w:val="header"/>
    <w:basedOn w:val="user2"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2"/>
      <w:sz w:val="24"/>
      <w:szCs w:val="20"/>
      <w:lang w:val="ru-RU" w:eastAsia="ru-RU" w:bidi="hi-IN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WW8Num1" w:customStyle="1">
    <w:name w:val="WW8Num1"/>
    <w:qFormat/>
    <w:rsid w:val="00a37f5b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2a306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https://login.consultant.ru/link/?req=doc&amp;base=LAW&amp;n=2875" TargetMode="External"/><Relationship Id="rId7" Type="http://schemas.openxmlformats.org/officeDocument/2006/relationships/hyperlink" Target="https://login.consultant.ru/link/?req=doc&amp;base=LAW&amp;n=471038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LibreOffice/25.8.1.1$Windows_X86_64 LibreOffice_project/54047653041915e595ad4e45cccea684809c77b5</Application>
  <AppVersion>15.0000</AppVersion>
  <Pages>6</Pages>
  <Words>965</Words>
  <Characters>8050</Characters>
  <CharactersWithSpaces>9105</CharactersWithSpaces>
  <Paragraphs>66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2026-03-27T10:50:00Z</dcterms:created>
  <dc:creator>Comp</dc:creator>
  <dc:description/>
  <dc:language>ru-RU</dc:language>
  <cp:lastModifiedBy/>
  <cp:lastPrinted>2026-06-09T09:35:50Z</cp:lastPrinted>
  <dcterms:modified xsi:type="dcterms:W3CDTF">2026-07-23T14:48:19Z</dcterms:modified>
  <cp:revision>26</cp:revision>
  <dc:subject/>
  <dc:title>Список документов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