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comments.xml" ContentType="application/vnd.openxmlformats-officedocument.wordprocessingml.comments+xml"/>
  <Override PartName="/word/footer4.xml" ContentType="application/vnd.openxmlformats-officedocument.wordprocessingml.footer+xml"/>
  <Override PartName="/word/header2.xml" ContentType="application/vnd.openxmlformats-officedocument.wordprocessingml.header+xml"/>
  <Override PartName="/word/media/image1.png" ContentType="image/png"/>
  <Override PartName="/word/footer3.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jc w:val="right"/>
        <w:rPr>
          <w:b/>
          <w:bCs/>
          <w:caps/>
          <w:color w:val="auto"/>
          <w:sz w:val="28"/>
          <w:szCs w:val="28"/>
        </w:rPr>
      </w:pPr>
      <w:r>
        <w:rPr>
          <w:b/>
          <w:bCs/>
          <w:caps/>
          <w:color w:val="auto"/>
          <w:sz w:val="28"/>
          <w:szCs w:val="28"/>
        </w:rPr>
      </w:r>
    </w:p>
    <w:tbl>
      <w:tblPr>
        <w:tblW w:w="9540"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3295"/>
        <w:gridCol w:w="1383"/>
        <w:gridCol w:w="2518"/>
        <w:gridCol w:w="1264"/>
        <w:gridCol w:w="1080"/>
      </w:tblGrid>
      <w:tr>
        <w:trPr>
          <w:trHeight w:val="1796" w:hRule="atLeast"/>
        </w:trPr>
        <w:tc>
          <w:tcPr>
            <w:tcW w:w="9540" w:type="dxa"/>
            <w:gridSpan w:val="5"/>
            <w:tcBorders/>
            <w:shd w:color="auto" w:fill="auto" w:val="clear"/>
          </w:tcPr>
          <w:p>
            <w:pPr>
              <w:pStyle w:val="Normal"/>
              <w:snapToGrid w:val="false"/>
              <w:spacing w:lineRule="auto" w:line="240"/>
              <w:jc w:val="center"/>
              <w:rPr>
                <w:b/>
                <w:bCs/>
                <w:szCs w:val="28"/>
                <w:lang w:eastAsia="zh-CN"/>
              </w:rPr>
            </w:pPr>
            <w:r>
              <w:rPr/>
              <w:drawing>
                <wp:inline distT="0" distB="0" distL="0" distR="0">
                  <wp:extent cx="533400"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2"/>
                          <a:stretch>
                            <a:fillRect/>
                          </a:stretch>
                        </pic:blipFill>
                        <pic:spPr bwMode="auto">
                          <a:xfrm>
                            <a:off x="0" y="0"/>
                            <a:ext cx="533400" cy="628650"/>
                          </a:xfrm>
                          <a:prstGeom prst="rect">
                            <a:avLst/>
                          </a:prstGeom>
                          <a:noFill/>
                        </pic:spPr>
                      </pic:pic>
                    </a:graphicData>
                  </a:graphic>
                </wp:inline>
              </w:drawing>
            </w:r>
          </w:p>
          <w:p>
            <w:pPr>
              <w:pStyle w:val="Normal"/>
              <w:tabs>
                <w:tab w:val="clear" w:pos="708"/>
                <w:tab w:val="left" w:pos="6480" w:leader="none"/>
              </w:tabs>
              <w:spacing w:lineRule="auto" w:line="240"/>
              <w:jc w:val="center"/>
              <w:rPr>
                <w:b/>
                <w:bCs/>
                <w:szCs w:val="28"/>
                <w:lang w:eastAsia="zh-CN"/>
              </w:rPr>
            </w:pPr>
            <w:r>
              <w:rPr>
                <w:b/>
                <w:bCs/>
                <w:szCs w:val="28"/>
                <w:lang w:eastAsia="zh-CN"/>
              </w:rPr>
              <w:t>Администрация</w:t>
            </w:r>
          </w:p>
          <w:p>
            <w:pPr>
              <w:pStyle w:val="Normal"/>
              <w:tabs>
                <w:tab w:val="clear" w:pos="708"/>
                <w:tab w:val="left" w:pos="6480" w:leader="none"/>
              </w:tabs>
              <w:spacing w:lineRule="auto" w:line="240"/>
              <w:jc w:val="center"/>
              <w:rPr>
                <w:b/>
                <w:bCs/>
                <w:szCs w:val="28"/>
                <w:lang w:eastAsia="zh-CN"/>
              </w:rPr>
            </w:pPr>
            <w:r>
              <w:rPr>
                <w:b/>
                <w:bCs/>
                <w:szCs w:val="28"/>
                <w:lang w:eastAsia="zh-CN"/>
              </w:rPr>
              <w:t>муниципального образования «Город Новоульяновск»</w:t>
            </w:r>
          </w:p>
          <w:p>
            <w:pPr>
              <w:pStyle w:val="Normal"/>
              <w:tabs>
                <w:tab w:val="clear" w:pos="708"/>
                <w:tab w:val="left" w:pos="6480" w:leader="none"/>
              </w:tabs>
              <w:snapToGrid w:val="false"/>
              <w:spacing w:lineRule="auto" w:line="240"/>
              <w:jc w:val="center"/>
              <w:rPr>
                <w:b/>
                <w:bCs/>
                <w:sz w:val="32"/>
                <w:szCs w:val="32"/>
                <w:lang w:eastAsia="zh-CN"/>
              </w:rPr>
            </w:pPr>
            <w:r>
              <w:rPr>
                <w:b/>
                <w:bCs/>
                <w:szCs w:val="28"/>
                <w:lang w:eastAsia="zh-CN"/>
              </w:rPr>
              <w:t>Ульяновской области</w:t>
            </w:r>
          </w:p>
        </w:tc>
      </w:tr>
      <w:tr>
        <w:trPr>
          <w:trHeight w:val="283" w:hRule="atLeast"/>
        </w:trPr>
        <w:tc>
          <w:tcPr>
            <w:tcW w:w="9540" w:type="dxa"/>
            <w:gridSpan w:val="5"/>
            <w:tcBorders/>
            <w:shd w:color="auto" w:fill="auto" w:val="clear"/>
          </w:tcPr>
          <w:p>
            <w:pPr>
              <w:pStyle w:val="Normal"/>
              <w:snapToGrid w:val="false"/>
              <w:spacing w:lineRule="auto" w:line="240"/>
              <w:jc w:val="center"/>
              <w:rPr>
                <w:b/>
                <w:bCs/>
                <w:sz w:val="32"/>
                <w:szCs w:val="32"/>
                <w:lang w:eastAsia="zh-CN"/>
              </w:rPr>
            </w:pPr>
            <w:r>
              <w:rPr>
                <w:b/>
                <w:bCs/>
                <w:sz w:val="32"/>
                <w:szCs w:val="32"/>
                <w:lang w:eastAsia="zh-CN"/>
              </w:rPr>
            </w:r>
          </w:p>
        </w:tc>
      </w:tr>
      <w:tr>
        <w:trPr>
          <w:trHeight w:val="283" w:hRule="atLeast"/>
        </w:trPr>
        <w:tc>
          <w:tcPr>
            <w:tcW w:w="9540" w:type="dxa"/>
            <w:gridSpan w:val="5"/>
            <w:tcBorders/>
            <w:shd w:color="auto" w:fill="auto" w:val="clear"/>
          </w:tcPr>
          <w:p>
            <w:pPr>
              <w:pStyle w:val="Normal"/>
              <w:snapToGrid w:val="false"/>
              <w:spacing w:lineRule="auto" w:line="240"/>
              <w:jc w:val="center"/>
              <w:rPr>
                <w:sz w:val="24"/>
                <w:szCs w:val="24"/>
                <w:lang w:eastAsia="zh-CN"/>
              </w:rPr>
            </w:pPr>
            <w:r>
              <w:rPr>
                <w:b/>
                <w:sz w:val="36"/>
                <w:szCs w:val="36"/>
                <w:lang w:eastAsia="zh-CN"/>
              </w:rPr>
              <w:t>П О С Т А Н О В Л Е Н И Е</w:t>
            </w:r>
          </w:p>
        </w:tc>
      </w:tr>
      <w:tr>
        <w:trPr>
          <w:trHeight w:val="283" w:hRule="atLeast"/>
        </w:trPr>
        <w:tc>
          <w:tcPr>
            <w:tcW w:w="9540" w:type="dxa"/>
            <w:gridSpan w:val="5"/>
            <w:tcBorders/>
            <w:shd w:color="auto" w:fill="auto" w:val="clear"/>
          </w:tcPr>
          <w:p>
            <w:pPr>
              <w:pStyle w:val="Normal"/>
              <w:snapToGrid w:val="false"/>
              <w:spacing w:lineRule="auto" w:line="240"/>
              <w:jc w:val="center"/>
              <w:rPr>
                <w:sz w:val="24"/>
                <w:szCs w:val="24"/>
                <w:lang w:eastAsia="zh-CN"/>
              </w:rPr>
            </w:pPr>
            <w:r>
              <w:rPr>
                <w:sz w:val="24"/>
                <w:szCs w:val="24"/>
                <w:lang w:eastAsia="zh-CN"/>
              </w:rPr>
            </w:r>
          </w:p>
        </w:tc>
      </w:tr>
      <w:tr>
        <w:trPr>
          <w:trHeight w:val="283" w:hRule="atLeast"/>
        </w:trPr>
        <w:tc>
          <w:tcPr>
            <w:tcW w:w="9540" w:type="dxa"/>
            <w:gridSpan w:val="5"/>
            <w:tcBorders/>
            <w:shd w:color="auto" w:fill="auto" w:val="clear"/>
          </w:tcPr>
          <w:p>
            <w:pPr>
              <w:pStyle w:val="Normal"/>
              <w:snapToGrid w:val="false"/>
              <w:spacing w:lineRule="auto" w:line="240"/>
              <w:jc w:val="center"/>
              <w:rPr>
                <w:sz w:val="24"/>
                <w:szCs w:val="24"/>
                <w:lang w:eastAsia="zh-CN"/>
              </w:rPr>
            </w:pPr>
            <w:r>
              <w:rPr>
                <w:sz w:val="24"/>
                <w:szCs w:val="24"/>
                <w:lang w:eastAsia="zh-CN"/>
              </w:rPr>
            </w:r>
          </w:p>
        </w:tc>
      </w:tr>
      <w:tr>
        <w:trPr>
          <w:trHeight w:val="285" w:hRule="atLeast"/>
        </w:trPr>
        <w:tc>
          <w:tcPr>
            <w:tcW w:w="3295" w:type="dxa"/>
            <w:tcBorders>
              <w:bottom w:val="single" w:sz="4" w:space="0" w:color="000000"/>
            </w:tcBorders>
            <w:shd w:color="auto" w:fill="auto" w:val="clear"/>
            <w:vAlign w:val="bottom"/>
          </w:tcPr>
          <w:p>
            <w:pPr>
              <w:pStyle w:val="Normal"/>
              <w:snapToGrid w:val="false"/>
              <w:rPr>
                <w:szCs w:val="28"/>
              </w:rPr>
            </w:pPr>
            <w:r>
              <w:rPr/>
            </w:r>
          </w:p>
        </w:tc>
        <w:tc>
          <w:tcPr>
            <w:tcW w:w="1383" w:type="dxa"/>
            <w:tcBorders/>
            <w:shd w:color="auto" w:fill="auto" w:val="clear"/>
            <w:vAlign w:val="bottom"/>
          </w:tcPr>
          <w:p>
            <w:pPr>
              <w:pStyle w:val="Normal"/>
              <w:snapToGrid w:val="false"/>
              <w:rPr>
                <w:szCs w:val="28"/>
              </w:rPr>
            </w:pPr>
            <w:r>
              <w:rPr/>
            </w:r>
          </w:p>
        </w:tc>
        <w:tc>
          <w:tcPr>
            <w:tcW w:w="2518" w:type="dxa"/>
            <w:vMerge w:val="restart"/>
            <w:tcBorders/>
            <w:shd w:color="auto" w:fill="auto" w:val="clear"/>
          </w:tcPr>
          <w:p>
            <w:pPr>
              <w:pStyle w:val="Normal"/>
              <w:snapToGrid w:val="false"/>
              <w:jc w:val="center"/>
              <w:rPr>
                <w:szCs w:val="28"/>
                <w:lang w:val="en-US"/>
              </w:rPr>
            </w:pPr>
            <w:r>
              <w:rPr>
                <w:szCs w:val="28"/>
                <w:lang w:val="en-US"/>
              </w:rPr>
            </w:r>
          </w:p>
        </w:tc>
        <w:tc>
          <w:tcPr>
            <w:tcW w:w="1264" w:type="dxa"/>
            <w:tcBorders/>
            <w:shd w:color="auto" w:fill="auto" w:val="clear"/>
            <w:vAlign w:val="bottom"/>
          </w:tcPr>
          <w:p>
            <w:pPr>
              <w:pStyle w:val="Normal"/>
              <w:snapToGrid w:val="false"/>
              <w:jc w:val="right"/>
              <w:rPr>
                <w:szCs w:val="28"/>
              </w:rPr>
            </w:pPr>
            <w:r>
              <w:rPr>
                <w:szCs w:val="28"/>
              </w:rPr>
              <w:t xml:space="preserve"> №</w:t>
            </w:r>
          </w:p>
        </w:tc>
        <w:tc>
          <w:tcPr>
            <w:tcW w:w="1080" w:type="dxa"/>
            <w:tcBorders>
              <w:bottom w:val="single" w:sz="4" w:space="0" w:color="000000"/>
            </w:tcBorders>
            <w:shd w:color="auto" w:fill="auto" w:val="clear"/>
          </w:tcPr>
          <w:p>
            <w:pPr>
              <w:pStyle w:val="Normal"/>
              <w:snapToGrid w:val="false"/>
              <w:spacing w:lineRule="auto" w:line="360"/>
              <w:rPr>
                <w:szCs w:val="28"/>
              </w:rPr>
            </w:pPr>
            <w:r>
              <w:rPr/>
            </w:r>
          </w:p>
        </w:tc>
      </w:tr>
      <w:tr>
        <w:trPr>
          <w:trHeight w:val="180" w:hRule="atLeast"/>
        </w:trPr>
        <w:tc>
          <w:tcPr>
            <w:tcW w:w="4678" w:type="dxa"/>
            <w:gridSpan w:val="2"/>
            <w:tcBorders/>
            <w:shd w:color="auto" w:fill="auto" w:val="clear"/>
            <w:vAlign w:val="bottom"/>
          </w:tcPr>
          <w:p>
            <w:pPr>
              <w:pStyle w:val="Normal"/>
              <w:snapToGrid w:val="false"/>
              <w:spacing w:before="120" w:after="0"/>
              <w:rPr>
                <w:lang w:val="en-US"/>
              </w:rPr>
            </w:pPr>
            <w:r>
              <w:rPr>
                <w:lang w:val="en-US"/>
              </w:rPr>
            </w:r>
          </w:p>
        </w:tc>
        <w:tc>
          <w:tcPr>
            <w:tcW w:w="2518" w:type="dxa"/>
            <w:vMerge w:val="continue"/>
            <w:tcBorders>
              <w:top w:val="single" w:sz="4" w:space="0" w:color="000000"/>
            </w:tcBorders>
            <w:shd w:color="auto" w:fill="auto" w:val="clear"/>
            <w:vAlign w:val="bottom"/>
          </w:tcPr>
          <w:p>
            <w:pPr>
              <w:pStyle w:val="Normal"/>
              <w:snapToGrid w:val="false"/>
              <w:spacing w:before="120" w:after="0"/>
              <w:rPr>
                <w:lang w:val="en-US"/>
              </w:rPr>
            </w:pPr>
            <w:r>
              <w:rPr>
                <w:lang w:val="en-US"/>
              </w:rPr>
            </w:r>
          </w:p>
        </w:tc>
        <w:tc>
          <w:tcPr>
            <w:tcW w:w="1264" w:type="dxa"/>
            <w:tcBorders/>
            <w:shd w:color="auto" w:fill="auto" w:val="clear"/>
            <w:vAlign w:val="bottom"/>
          </w:tcPr>
          <w:p>
            <w:pPr>
              <w:pStyle w:val="Normal"/>
              <w:snapToGrid w:val="false"/>
              <w:spacing w:before="120" w:after="0"/>
              <w:jc w:val="right"/>
              <w:rPr/>
            </w:pPr>
            <w:r>
              <w:rPr/>
              <w:t>Экз №</w:t>
            </w:r>
          </w:p>
        </w:tc>
        <w:tc>
          <w:tcPr>
            <w:tcW w:w="1080" w:type="dxa"/>
            <w:tcBorders>
              <w:top w:val="single" w:sz="4" w:space="0" w:color="000000"/>
              <w:bottom w:val="single" w:sz="4" w:space="0" w:color="000000"/>
            </w:tcBorders>
            <w:shd w:color="auto" w:fill="auto" w:val="clear"/>
            <w:vAlign w:val="bottom"/>
          </w:tcPr>
          <w:p>
            <w:pPr>
              <w:pStyle w:val="Normal"/>
              <w:snapToGrid w:val="false"/>
              <w:spacing w:before="120" w:after="0"/>
              <w:rPr/>
            </w:pPr>
            <w:r>
              <w:rPr/>
            </w:r>
          </w:p>
        </w:tc>
      </w:tr>
    </w:tbl>
    <w:p>
      <w:pPr>
        <w:pStyle w:val="pc"/>
        <w:spacing w:beforeAutospacing="0" w:before="0" w:afterAutospacing="0" w:after="0"/>
        <w:textAlignment w:val="baseline"/>
        <w:rPr>
          <w:b/>
          <w:bCs/>
          <w:sz w:val="28"/>
          <w:szCs w:val="28"/>
        </w:rPr>
      </w:pPr>
      <w:r>
        <w:rPr>
          <w:b/>
          <w:bCs/>
          <w:sz w:val="28"/>
          <w:szCs w:val="28"/>
        </w:rPr>
      </w:r>
    </w:p>
    <w:p>
      <w:pPr>
        <w:pStyle w:val="pc"/>
        <w:spacing w:beforeAutospacing="0" w:before="0" w:afterAutospacing="0" w:after="0"/>
        <w:jc w:val="center"/>
        <w:textAlignment w:val="baseline"/>
        <w:rPr>
          <w:b/>
          <w:bCs/>
          <w:sz w:val="28"/>
          <w:szCs w:val="28"/>
        </w:rPr>
      </w:pPr>
      <w:r>
        <w:rPr>
          <w:b/>
          <w:bCs/>
          <w:sz w:val="28"/>
          <w:szCs w:val="28"/>
        </w:rPr>
      </w:r>
    </w:p>
    <w:p>
      <w:pPr>
        <w:pStyle w:val="pc"/>
        <w:spacing w:beforeAutospacing="0" w:before="0" w:afterAutospacing="0" w:after="0"/>
        <w:jc w:val="center"/>
        <w:textAlignment w:val="baseline"/>
        <w:rPr>
          <w:b/>
          <w:bCs/>
          <w:sz w:val="28"/>
          <w:szCs w:val="28"/>
        </w:rPr>
      </w:pPr>
      <w:r>
        <w:rPr>
          <w:b/>
          <w:bCs/>
          <w:sz w:val="28"/>
          <w:szCs w:val="28"/>
        </w:rPr>
        <w:t xml:space="preserve">Об утверждении Правил разработки и утверждения административных регламентов предоставления муниципальных услуг  </w:t>
      </w:r>
    </w:p>
    <w:p>
      <w:pPr>
        <w:pStyle w:val="Normal"/>
        <w:widowControl w:val="false"/>
        <w:numPr>
          <w:ilvl w:val="0"/>
          <w:numId w:val="0"/>
        </w:numPr>
        <w:spacing w:lineRule="auto" w:line="240"/>
        <w:ind w:firstLine="708" w:left="0"/>
        <w:outlineLvl w:val="0"/>
        <w:rPr>
          <w:szCs w:val="28"/>
        </w:rPr>
      </w:pPr>
      <w:r>
        <w:rPr>
          <w:szCs w:val="28"/>
        </w:rPr>
      </w:r>
    </w:p>
    <w:p>
      <w:pPr>
        <w:pStyle w:val="Heading1"/>
        <w:shd w:val="clear" w:color="auto" w:fill="FFFFFF"/>
        <w:spacing w:lineRule="atLeast" w:line="263" w:before="0" w:after="144"/>
        <w:ind w:firstLine="709"/>
        <w:jc w:val="both"/>
        <w:rPr>
          <w:rFonts w:ascii="Times New Roman" w:hAnsi="Times New Roman" w:cs="Times New Roman"/>
          <w:b w:val="false"/>
          <w:color w:val="auto"/>
          <w:sz w:val="28"/>
          <w:szCs w:val="28"/>
        </w:rPr>
      </w:pPr>
      <w:r>
        <w:rPr>
          <w:rFonts w:cs="Times New Roman" w:ascii="Times New Roman" w:hAnsi="Times New Roman"/>
          <w:b w:val="false"/>
          <w:color w:val="auto"/>
          <w:sz w:val="28"/>
          <w:szCs w:val="28"/>
        </w:rPr>
        <w:t xml:space="preserve">В соответствии </w:t>
      </w:r>
      <w:r>
        <w:rPr>
          <w:rFonts w:cs="Times New Roman" w:ascii="Times New Roman" w:hAnsi="Times New Roman"/>
          <w:b w:val="false"/>
          <w:color w:val="000000"/>
          <w:sz w:val="28"/>
          <w:szCs w:val="28"/>
        </w:rPr>
        <w:t xml:space="preserve">с </w:t>
      </w:r>
      <w:r>
        <w:rPr>
          <w:rFonts w:eastAsia="" w:cs="Times New Roman" w:ascii="Times New Roman" w:hAnsi="Times New Roman"/>
          <w:b w:val="false"/>
          <w:bCs/>
          <w:color w:val="000000"/>
          <w:sz w:val="28"/>
          <w:szCs w:val="28"/>
          <w:lang w:eastAsia="ru-RU"/>
        </w:rPr>
        <w:t>частью</w:t>
      </w:r>
      <w:hyperlink r:id="rId3">
        <w:r>
          <w:rPr>
            <w:rStyle w:val="Style8"/>
            <w:rFonts w:cs="Times New Roman" w:ascii="Times New Roman" w:hAnsi="Times New Roman"/>
            <w:b w:val="false"/>
            <w:color w:val="000000"/>
            <w:sz w:val="28"/>
            <w:szCs w:val="28"/>
          </w:rPr>
          <w:t xml:space="preserve"> 15 статьи 13</w:t>
        </w:r>
      </w:hyperlink>
      <w:r>
        <w:rPr>
          <w:rFonts w:cs="Times New Roman" w:ascii="Times New Roman" w:hAnsi="Times New Roman"/>
          <w:b w:val="false"/>
          <w:color w:val="000000"/>
          <w:sz w:val="28"/>
          <w:szCs w:val="28"/>
        </w:rPr>
        <w:t xml:space="preserve"> Федерального закона </w:t>
        <w:br/>
        <w:t xml:space="preserve">от 27.07.2010 № 210-ФЗ «Об организации предоставления государственных </w:t>
        <w:br/>
        <w:t xml:space="preserve">и муниципальных услуг», </w:t>
      </w:r>
      <w:hyperlink r:id="rId4">
        <w:r>
          <w:rPr>
            <w:rStyle w:val="Style8"/>
            <w:rFonts w:cs="Times New Roman" w:ascii="Times New Roman" w:hAnsi="Times New Roman"/>
            <w:b w:val="false"/>
            <w:color w:val="000000"/>
            <w:sz w:val="28"/>
            <w:szCs w:val="28"/>
          </w:rPr>
          <w:t>пунктом 3</w:t>
        </w:r>
      </w:hyperlink>
      <w:r>
        <w:rPr>
          <w:rFonts w:cs="Times New Roman" w:ascii="Times New Roman" w:hAnsi="Times New Roman"/>
          <w:b w:val="false"/>
          <w:color w:val="000000"/>
          <w:sz w:val="28"/>
          <w:szCs w:val="28"/>
        </w:rPr>
        <w:t xml:space="preserve"> </w:t>
      </w:r>
      <w:r>
        <w:rPr>
          <w:rFonts w:cs="Times New Roman" w:ascii="Times New Roman" w:hAnsi="Times New Roman"/>
          <w:b w:val="false"/>
          <w:color w:val="auto"/>
          <w:sz w:val="28"/>
          <w:szCs w:val="28"/>
        </w:rPr>
        <w:t>постановления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Администрация муниципального образования «Город Новоульяновск» Ульяновской области постановляет:</w:t>
      </w:r>
    </w:p>
    <w:p>
      <w:pPr>
        <w:pStyle w:val="pc"/>
        <w:tabs>
          <w:tab w:val="clear" w:pos="708"/>
          <w:tab w:val="left" w:pos="851" w:leader="none"/>
        </w:tabs>
        <w:spacing w:beforeAutospacing="0" w:before="0" w:afterAutospacing="0" w:after="0"/>
        <w:ind w:firstLine="709"/>
        <w:jc w:val="both"/>
        <w:textAlignment w:val="baseline"/>
        <w:rPr>
          <w:spacing w:val="-6"/>
          <w:sz w:val="28"/>
          <w:szCs w:val="28"/>
        </w:rPr>
      </w:pPr>
      <w:r>
        <w:rPr>
          <w:spacing w:val="-6"/>
          <w:sz w:val="28"/>
          <w:szCs w:val="28"/>
        </w:rPr>
        <w:t>1. Утвердить:</w:t>
      </w:r>
    </w:p>
    <w:p>
      <w:pPr>
        <w:pStyle w:val="pc"/>
        <w:tabs>
          <w:tab w:val="clear" w:pos="708"/>
          <w:tab w:val="left" w:pos="851" w:leader="none"/>
        </w:tabs>
        <w:spacing w:beforeAutospacing="0" w:before="0" w:afterAutospacing="0" w:after="0"/>
        <w:ind w:firstLine="709"/>
        <w:jc w:val="both"/>
        <w:textAlignment w:val="baseline"/>
        <w:rPr>
          <w:spacing w:val="-6"/>
          <w:sz w:val="28"/>
          <w:szCs w:val="28"/>
        </w:rPr>
      </w:pPr>
      <w:r>
        <w:rPr>
          <w:spacing w:val="-6"/>
          <w:sz w:val="28"/>
          <w:szCs w:val="28"/>
        </w:rPr>
        <w:t>1) Правила разработки и утверждения административных регламентов предоставления муниципальных услуг</w:t>
      </w:r>
      <w:r>
        <w:rPr>
          <w:bCs/>
          <w:sz w:val="28"/>
          <w:szCs w:val="28"/>
        </w:rPr>
        <w:t xml:space="preserve"> (Приложение 1).</w:t>
      </w:r>
    </w:p>
    <w:p>
      <w:pPr>
        <w:pStyle w:val="pc"/>
        <w:tabs>
          <w:tab w:val="clear" w:pos="708"/>
          <w:tab w:val="left" w:pos="851" w:leader="none"/>
        </w:tabs>
        <w:spacing w:beforeAutospacing="0" w:before="0" w:afterAutospacing="0" w:after="0"/>
        <w:ind w:firstLine="709"/>
        <w:jc w:val="both"/>
        <w:textAlignment w:val="baseline"/>
        <w:rPr>
          <w:spacing w:val="-6"/>
          <w:sz w:val="28"/>
          <w:szCs w:val="28"/>
        </w:rPr>
      </w:pPr>
      <w:r>
        <w:rPr>
          <w:bCs/>
          <w:sz w:val="28"/>
          <w:szCs w:val="28"/>
        </w:rPr>
        <w:t>2) Правила</w:t>
      </w:r>
      <w:r>
        <w:rPr>
          <w:bCs/>
          <w:spacing w:val="-6"/>
          <w:sz w:val="28"/>
          <w:szCs w:val="28"/>
        </w:rPr>
        <w:t xml:space="preserve"> проведения экспертизы проектов административных регламентов предоставления муниципальных услуг</w:t>
      </w:r>
      <w:r>
        <w:rPr>
          <w:bCs/>
          <w:sz w:val="28"/>
          <w:szCs w:val="28"/>
        </w:rPr>
        <w:t xml:space="preserve"> (Приложение 2).</w:t>
      </w:r>
    </w:p>
    <w:p>
      <w:pPr>
        <w:pStyle w:val="pc"/>
        <w:tabs>
          <w:tab w:val="clear" w:pos="708"/>
          <w:tab w:val="left" w:pos="851" w:leader="none"/>
        </w:tabs>
        <w:spacing w:beforeAutospacing="0" w:before="0" w:afterAutospacing="0" w:after="0"/>
        <w:ind w:firstLine="709"/>
        <w:jc w:val="both"/>
        <w:textAlignment w:val="baseline"/>
        <w:rPr>
          <w:spacing w:val="-6"/>
          <w:sz w:val="28"/>
          <w:szCs w:val="28"/>
        </w:rPr>
      </w:pPr>
      <w:r>
        <w:rPr>
          <w:bCs/>
          <w:sz w:val="28"/>
          <w:szCs w:val="28"/>
        </w:rPr>
        <w:t>2. Признать утратившими силу:</w:t>
      </w:r>
    </w:p>
    <w:p>
      <w:pPr>
        <w:pStyle w:val="Normal"/>
        <w:spacing w:lineRule="auto" w:line="240"/>
        <w:ind w:firstLine="709"/>
        <w:rPr>
          <w:szCs w:val="28"/>
        </w:rPr>
      </w:pPr>
      <w:r>
        <w:rPr>
          <w:bCs/>
          <w:szCs w:val="28"/>
        </w:rPr>
        <w:t xml:space="preserve">постановление Администрации муниципального образования </w:t>
        <w:br/>
        <w:t>«Город Новоульяновск» Ульяновской области от 29 октября 2021 г. № 661-П «О</w:t>
      </w:r>
      <w:r>
        <w:rPr>
          <w:szCs w:val="28"/>
        </w:rPr>
        <w:t>б утверждении правил разработки и утверждения административных регламентов предоставления муниципальных услуг на территории муниципального образования «Город Новоульяновск» Ульяновской области»,</w:t>
      </w:r>
    </w:p>
    <w:p>
      <w:pPr>
        <w:pStyle w:val="Normal"/>
        <w:spacing w:lineRule="auto" w:line="240"/>
        <w:ind w:firstLine="709"/>
        <w:rPr>
          <w:szCs w:val="28"/>
        </w:rPr>
      </w:pPr>
      <w:r>
        <w:rPr>
          <w:bCs/>
          <w:szCs w:val="28"/>
        </w:rPr>
        <w:t xml:space="preserve">постановление Администрации муниципального образования «Город Новоульяновск» Ульяновской области от 12 декабря 2022 г. № 695-П </w:t>
        <w:br/>
        <w:t>«О внесении изменений в постановление Администрации муниципального образования «Город Новоульяновск» Ульяновской области от 29 октября 2021 г. № 661-П».</w:t>
      </w:r>
    </w:p>
    <w:p>
      <w:pPr>
        <w:pStyle w:val="Normal"/>
        <w:spacing w:lineRule="auto" w:line="240"/>
        <w:ind w:firstLine="709"/>
        <w:rPr>
          <w:szCs w:val="28"/>
        </w:rPr>
      </w:pPr>
      <w:r>
        <w:rPr>
          <w:szCs w:val="28"/>
        </w:rPr>
        <w:t>3. Настоящее постановление вступает в силу на следующий день после дня его официального опубликования.</w:t>
      </w:r>
    </w:p>
    <w:p>
      <w:pPr>
        <w:pStyle w:val="Normal"/>
        <w:spacing w:lineRule="auto" w:line="240"/>
        <w:ind w:firstLine="709"/>
        <w:rPr>
          <w:szCs w:val="28"/>
        </w:rPr>
      </w:pPr>
      <w:r>
        <w:rPr>
          <w:szCs w:val="28"/>
        </w:rPr>
        <w:t xml:space="preserve">4. Контроль за исполнением настоящего постановления оставляю </w:t>
        <w:br/>
        <w:t>за собой.</w:t>
      </w:r>
    </w:p>
    <w:p>
      <w:pPr>
        <w:pStyle w:val="Normal"/>
        <w:spacing w:lineRule="auto" w:line="240"/>
        <w:rPr>
          <w:szCs w:val="28"/>
        </w:rPr>
      </w:pPr>
      <w:r>
        <w:rPr>
          <w:szCs w:val="28"/>
        </w:rPr>
      </w:r>
    </w:p>
    <w:p>
      <w:pPr>
        <w:pStyle w:val="Normal"/>
        <w:spacing w:lineRule="auto" w:line="240"/>
        <w:rPr>
          <w:szCs w:val="28"/>
        </w:rPr>
      </w:pPr>
      <w:r>
        <w:rPr>
          <w:szCs w:val="28"/>
        </w:rPr>
      </w:r>
    </w:p>
    <w:p>
      <w:pPr>
        <w:pStyle w:val="Normal"/>
        <w:spacing w:lineRule="auto" w:line="240"/>
        <w:ind w:right="-2"/>
        <w:rPr>
          <w:b/>
          <w:szCs w:val="28"/>
          <w:lang w:eastAsia="zh-CN"/>
        </w:rPr>
      </w:pPr>
      <w:r>
        <w:rPr>
          <w:b/>
          <w:szCs w:val="28"/>
          <w:lang w:eastAsia="zh-CN"/>
        </w:rPr>
        <w:t>Исполняющий обязанности</w:t>
      </w:r>
    </w:p>
    <w:p>
      <w:pPr>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701" w:right="567" w:gutter="0" w:header="567" w:top="1172" w:footer="567" w:bottom="624"/>
          <w:pgNumType w:start="1" w:fmt="decimal"/>
          <w:formProt w:val="false"/>
          <w:titlePg/>
          <w:textDirection w:val="lrTb"/>
          <w:docGrid w:type="default" w:linePitch="600" w:charSpace="0"/>
        </w:sectPr>
        <w:pStyle w:val="Normal"/>
        <w:spacing w:lineRule="auto" w:line="240"/>
        <w:ind w:right="-2"/>
        <w:rPr>
          <w:b/>
          <w:szCs w:val="28"/>
          <w:lang w:eastAsia="zh-CN"/>
        </w:rPr>
      </w:pPr>
      <w:r>
        <w:rPr>
          <w:b/>
          <w:szCs w:val="28"/>
          <w:lang w:eastAsia="zh-CN"/>
        </w:rPr>
        <w:t>Главы Администрации                                                                Ж.Е.Прохорова</w:t>
      </w:r>
    </w:p>
    <w:p>
      <w:pPr>
        <w:pStyle w:val="Normal"/>
        <w:spacing w:before="0" w:after="0"/>
        <w:contextualSpacing/>
        <w:jc w:val="right"/>
        <w:rPr>
          <w:szCs w:val="28"/>
        </w:rPr>
      </w:pPr>
      <w:r>
        <w:rPr>
          <w:szCs w:val="28"/>
        </w:rPr>
        <w:t>Приложение 1</w:t>
      </w:r>
    </w:p>
    <w:p>
      <w:pPr>
        <w:pStyle w:val="Normal"/>
        <w:spacing w:before="0" w:after="0"/>
        <w:ind w:firstLine="5245"/>
        <w:contextualSpacing/>
        <w:jc w:val="right"/>
        <w:rPr>
          <w:szCs w:val="28"/>
        </w:rPr>
      </w:pPr>
      <w:r>
        <w:rPr>
          <w:szCs w:val="28"/>
        </w:rPr>
        <w:t>к постановлению Администрации</w:t>
      </w:r>
    </w:p>
    <w:p>
      <w:pPr>
        <w:pStyle w:val="Normal"/>
        <w:spacing w:before="0" w:after="0"/>
        <w:ind w:firstLine="5245"/>
        <w:contextualSpacing/>
        <w:jc w:val="right"/>
        <w:rPr>
          <w:szCs w:val="28"/>
        </w:rPr>
      </w:pPr>
      <w:r>
        <w:rPr>
          <w:szCs w:val="28"/>
        </w:rPr>
        <w:t>муниципального образования «Город Новоульяновск»</w:t>
      </w:r>
    </w:p>
    <w:p>
      <w:pPr>
        <w:pStyle w:val="Normal"/>
        <w:spacing w:before="0" w:after="0"/>
        <w:ind w:firstLine="5245"/>
        <w:contextualSpacing/>
        <w:jc w:val="right"/>
        <w:rPr>
          <w:szCs w:val="28"/>
        </w:rPr>
      </w:pPr>
      <w:r>
        <w:rPr>
          <w:szCs w:val="28"/>
        </w:rPr>
        <w:t>Ульяновской области</w:t>
      </w:r>
    </w:p>
    <w:p>
      <w:pPr>
        <w:pStyle w:val="Normal"/>
        <w:spacing w:before="0" w:after="0"/>
        <w:ind w:firstLine="5245"/>
        <w:contextualSpacing/>
        <w:jc w:val="right"/>
        <w:rPr>
          <w:szCs w:val="28"/>
        </w:rPr>
      </w:pPr>
      <w:r>
        <w:rPr>
          <w:szCs w:val="28"/>
        </w:rPr>
        <w:t>от  20 апреля  2026 г.  № 265-П</w:t>
      </w:r>
    </w:p>
    <w:p>
      <w:pPr>
        <w:pStyle w:val="Normal"/>
        <w:spacing w:before="0" w:after="0"/>
        <w:ind w:firstLine="5245"/>
        <w:contextualSpacing/>
        <w:jc w:val="right"/>
        <w:rPr>
          <w:szCs w:val="28"/>
        </w:rPr>
      </w:pPr>
      <w:r>
        <w:rPr>
          <w:szCs w:val="28"/>
        </w:rPr>
      </w:r>
    </w:p>
    <w:p>
      <w:pPr>
        <w:pStyle w:val="Normal"/>
        <w:numPr>
          <w:ilvl w:val="0"/>
          <w:numId w:val="0"/>
        </w:numPr>
        <w:spacing w:lineRule="auto" w:line="240"/>
        <w:ind w:firstLine="567" w:left="0"/>
        <w:jc w:val="center"/>
        <w:outlineLvl w:val="0"/>
        <w:rPr>
          <w:rFonts w:eastAsia="Arial" w:eastAsiaTheme="minorHAnsi"/>
          <w:b/>
          <w:bCs/>
          <w:szCs w:val="28"/>
          <w:lang w:eastAsia="en-US"/>
        </w:rPr>
      </w:pPr>
      <w:r>
        <w:rPr>
          <w:rFonts w:eastAsia="Arial" w:eastAsiaTheme="minorHAnsi"/>
          <w:b/>
          <w:bCs/>
          <w:szCs w:val="28"/>
          <w:lang w:eastAsia="en-US"/>
        </w:rPr>
      </w:r>
    </w:p>
    <w:p>
      <w:pPr>
        <w:pStyle w:val="Normal"/>
        <w:numPr>
          <w:ilvl w:val="0"/>
          <w:numId w:val="0"/>
        </w:numPr>
        <w:spacing w:lineRule="auto" w:line="240"/>
        <w:ind w:firstLine="567" w:left="0"/>
        <w:jc w:val="center"/>
        <w:outlineLvl w:val="0"/>
        <w:rPr>
          <w:rFonts w:eastAsia="Arial" w:eastAsiaTheme="minorHAnsi"/>
          <w:b/>
          <w:bCs/>
          <w:szCs w:val="28"/>
          <w:lang w:eastAsia="en-US"/>
        </w:rPr>
      </w:pPr>
      <w:r>
        <w:rPr>
          <w:rFonts w:eastAsia="Arial" w:eastAsiaTheme="minorHAnsi"/>
          <w:b/>
          <w:bCs/>
          <w:spacing w:val="-6"/>
          <w:szCs w:val="28"/>
          <w:lang w:eastAsia="en-US"/>
        </w:rPr>
        <w:t>Правила</w:t>
      </w:r>
    </w:p>
    <w:p>
      <w:pPr>
        <w:pStyle w:val="Normal"/>
        <w:numPr>
          <w:ilvl w:val="0"/>
          <w:numId w:val="0"/>
        </w:numPr>
        <w:spacing w:lineRule="auto" w:line="240"/>
        <w:ind w:firstLine="567" w:left="0"/>
        <w:jc w:val="center"/>
        <w:outlineLvl w:val="0"/>
        <w:rPr>
          <w:rFonts w:eastAsia="Arial" w:eastAsiaTheme="minorHAnsi"/>
          <w:b/>
          <w:bCs/>
          <w:szCs w:val="28"/>
          <w:lang w:eastAsia="en-US"/>
        </w:rPr>
      </w:pPr>
      <w:r>
        <w:rPr>
          <w:b/>
          <w:spacing w:val="-6"/>
          <w:szCs w:val="28"/>
        </w:rPr>
        <w:t xml:space="preserve">разработки и утверждения административных регламентов предоставления муниципальных услуг </w:t>
      </w:r>
    </w:p>
    <w:p>
      <w:pPr>
        <w:pStyle w:val="Normal"/>
        <w:numPr>
          <w:ilvl w:val="0"/>
          <w:numId w:val="0"/>
        </w:numPr>
        <w:spacing w:lineRule="auto" w:line="240"/>
        <w:ind w:firstLine="567" w:left="0"/>
        <w:jc w:val="center"/>
        <w:outlineLvl w:val="0"/>
        <w:rPr>
          <w:rFonts w:eastAsia="Arial" w:eastAsiaTheme="minorHAnsi"/>
          <w:b/>
          <w:bCs/>
          <w:szCs w:val="28"/>
          <w:lang w:eastAsia="en-US"/>
        </w:rPr>
      </w:pPr>
      <w:r>
        <w:rPr>
          <w:rFonts w:eastAsia="Arial" w:eastAsiaTheme="minorHAnsi"/>
          <w:b/>
          <w:bCs/>
          <w:szCs w:val="28"/>
          <w:lang w:eastAsia="en-US"/>
        </w:rPr>
      </w:r>
    </w:p>
    <w:p>
      <w:pPr>
        <w:pStyle w:val="ConsPlusNormal"/>
        <w:numPr>
          <w:ilvl w:val="0"/>
          <w:numId w:val="0"/>
        </w:numPr>
        <w:ind w:hanging="0" w:left="0"/>
        <w:jc w:val="center"/>
        <w:outlineLvl w:val="1"/>
        <w:rPr>
          <w:rFonts w:ascii="Times New Roman" w:hAnsi="Times New Roman"/>
          <w:sz w:val="28"/>
          <w:szCs w:val="28"/>
        </w:rPr>
      </w:pPr>
      <w:r>
        <w:rPr>
          <w:rFonts w:ascii="Times New Roman" w:hAnsi="Times New Roman"/>
          <w:b/>
          <w:sz w:val="28"/>
          <w:szCs w:val="28"/>
        </w:rPr>
        <w:t>1. Общие положения</w:t>
      </w:r>
    </w:p>
    <w:p>
      <w:pPr>
        <w:pStyle w:val="ConsPlusNormal"/>
        <w:jc w:val="both"/>
        <w:rPr>
          <w:rFonts w:ascii="Times New Roman" w:hAnsi="Times New Roman"/>
          <w:sz w:val="28"/>
          <w:szCs w:val="28"/>
        </w:rPr>
      </w:pPr>
      <w:r>
        <w:rPr>
          <w:rFonts w:ascii="Times New Roman" w:hAnsi="Times New Roman"/>
          <w:sz w:val="28"/>
          <w:szCs w:val="28"/>
        </w:rPr>
      </w:r>
    </w:p>
    <w:p>
      <w:pPr>
        <w:pStyle w:val="ConsPlusNormal"/>
        <w:ind w:firstLine="540"/>
        <w:jc w:val="both"/>
        <w:rPr>
          <w:rFonts w:ascii="Times New Roman" w:hAnsi="Times New Roman"/>
          <w:sz w:val="28"/>
          <w:szCs w:val="28"/>
        </w:rPr>
      </w:pPr>
      <w:r>
        <w:rPr>
          <w:rFonts w:ascii="Times New Roman" w:hAnsi="Times New Roman"/>
          <w:sz w:val="28"/>
          <w:szCs w:val="28"/>
        </w:rPr>
        <w:t>1.1. Настоящие Правила разработки и утверждения административных регламентов предоставления муниципальных услуг (далее - Правила) устанавливают требования к разработке и утверждению административных регламентов предоставления Администрацией муниципального образования «Город Новоульяновск» Ульяновской области муниципальных услуг (далее - административные регламенты, Администрация, орган предоставляющий муниципальные услуги).</w:t>
      </w:r>
    </w:p>
    <w:p>
      <w:pPr>
        <w:pStyle w:val="ConsPlusNormal"/>
        <w:spacing w:before="160" w:after="0"/>
        <w:ind w:firstLine="540"/>
        <w:jc w:val="both"/>
        <w:rPr>
          <w:rFonts w:ascii="Times New Roman" w:hAnsi="Times New Roman"/>
          <w:sz w:val="28"/>
          <w:szCs w:val="28"/>
        </w:rPr>
      </w:pPr>
      <w:bookmarkStart w:id="0" w:name="Par37"/>
      <w:bookmarkEnd w:id="0"/>
      <w:r>
        <w:rPr>
          <w:rFonts w:ascii="Times New Roman" w:hAnsi="Times New Roman"/>
          <w:sz w:val="28"/>
          <w:szCs w:val="28"/>
        </w:rPr>
        <w:t>1.2. Административные регламенты разрабатываются структурными подразделениями, отраслевыми (функциональными) органами Администрации, к сфере деятельности которых относится предоставление соответствующей муниципальной услуги, в соответствии с федеральными законами, нормативными правовыми актами Президента Российской Федерации и Правительства Российской Федерации, законами Ульяновской области, иными нормативными правовыми актами Ульяновской области, муниципальными нормативными правовыми актами Администрации, а также в соответствии с единым стандартом предоставления муниципальной услуги (при его наличии), после публикации сведений о муниципальной услуге в федеральной государственной информационной системе «Федеральный реестр государственных и муниципальных услуг (функций)» (далее - Реестр услуг).</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В случае, если нормативным правовым актом, устанавливающим конкретное полномочие Администрации, предусмотрено принятие Администрацией отдельного муниципального нормативного правового акта, устанавливающего правила осуществления такого полномочия, наряду с разработкой этого муниципального нормативного правового акта Администрации, подлежит утверждению административный регламент предоставления соответствующей муниципальной услуги. При этом указанными правилами осуществления полномочия, утвержденным муниципальным нормативным правовым актом Администрации, не регулируются вопросы, относящиеся к предмету регулирования административного регламента в соответствии с настоящими Правилами.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Исполнение Администрацией отдельных государственных полномочий Ульяновской области, которыми они наделены на основании законов Ульяновской области, осуществляется в порядке, установленном административным регламентом, утверждённым соответствующим исполнительным органом</w:t>
      </w:r>
      <w:r>
        <w:rPr/>
        <w:t xml:space="preserve"> </w:t>
      </w:r>
      <w:r>
        <w:rPr>
          <w:rFonts w:ascii="Times New Roman" w:hAnsi="Times New Roman"/>
          <w:sz w:val="28"/>
          <w:szCs w:val="28"/>
        </w:rPr>
        <w:t>Ульяновской области, предоставляющим государственные услуги, если иное не установлено законом Ульяновской области.</w:t>
      </w:r>
    </w:p>
    <w:p>
      <w:pPr>
        <w:pStyle w:val="ConsPlusNormal"/>
        <w:spacing w:before="160" w:after="0"/>
        <w:ind w:firstLine="540"/>
        <w:jc w:val="both"/>
        <w:rPr/>
      </w:pPr>
      <w:r>
        <w:rPr>
          <w:rFonts w:ascii="Times New Roman" w:hAnsi="Times New Roman"/>
          <w:sz w:val="28"/>
          <w:szCs w:val="28"/>
        </w:rPr>
        <w:t xml:space="preserve">1.3. При разработке административных регламентов Администрация предусматривает оптимизацию (повышение качества) предоставления муниципальных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 муниципальных услуг,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w:t>
      </w:r>
      <w:hyperlink r:id="rId11">
        <w:r>
          <w:rPr>
            <w:rStyle w:val="Style8"/>
            <w:rFonts w:ascii="Times New Roman" w:hAnsi="Times New Roman"/>
            <w:color w:val="000000"/>
            <w:sz w:val="28"/>
            <w:szCs w:val="28"/>
          </w:rPr>
          <w:t>законом</w:t>
        </w:r>
      </w:hyperlink>
      <w:r>
        <w:rPr>
          <w:rFonts w:ascii="Times New Roman" w:hAnsi="Times New Roman"/>
          <w:color w:val="000000"/>
          <w:sz w:val="28"/>
          <w:szCs w:val="28"/>
        </w:rPr>
        <w:t xml:space="preserve"> </w:t>
      </w:r>
      <w:r>
        <w:rPr>
          <w:rFonts w:ascii="Times New Roman" w:hAnsi="Times New Roman"/>
          <w:sz w:val="28"/>
          <w:szCs w:val="28"/>
        </w:rPr>
        <w:t>от 27.07.2010 № 210-ФЗ «Об организации предоставления государственных и муниципальных услуг» (далее - Федеральный закон от 27.07.2010 № 210-ФЗ).</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1.4. Наименования административных регламентов определяются Администрацией с учетом формулировки в нормативном правовом акте, которым предусмотрена соответствующая муниципальная услуга.</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1.5. Административные регламенты утверждаются постановлением Администрации.</w:t>
      </w:r>
    </w:p>
    <w:p>
      <w:pPr>
        <w:pStyle w:val="ConsPlusNormal"/>
        <w:spacing w:before="160" w:after="0"/>
        <w:ind w:firstLine="540"/>
        <w:jc w:val="both"/>
        <w:rPr>
          <w:rFonts w:ascii="Times New Roman" w:hAnsi="Times New Roman"/>
          <w:sz w:val="28"/>
          <w:szCs w:val="28"/>
        </w:rPr>
      </w:pPr>
      <w:bookmarkStart w:id="1" w:name="Par43"/>
      <w:bookmarkEnd w:id="1"/>
      <w:r>
        <w:rPr>
          <w:rFonts w:ascii="Times New Roman" w:hAnsi="Times New Roman"/>
          <w:sz w:val="28"/>
          <w:szCs w:val="28"/>
        </w:rPr>
        <w:t>1.6. Проекты административных регламентов, проекты нормативных правовых актов о внесении изменений в административные регламенты и о признании административных регламентов утратившими силу подлежат независимой антикоррупционной экспертизе и экспертизе, проводимой уполномоченным муниципальным служащим отдела правового обеспечения Администрации (далее – уполномоченное лицо).</w:t>
      </w:r>
    </w:p>
    <w:p>
      <w:pPr>
        <w:pStyle w:val="Normal"/>
        <w:spacing w:lineRule="auto" w:line="240" w:before="200" w:after="0"/>
        <w:ind w:firstLine="540"/>
        <w:rPr/>
      </w:pPr>
      <w:r>
        <w:rPr>
          <w:szCs w:val="28"/>
        </w:rPr>
        <w:t xml:space="preserve">Экспертиза проектов административных регламентов, проектов муниципальных нормативных правовых актов о внесении изменений в административные регламенты и о признании административных регламентов утратившими силу проводится в соответствии с </w:t>
      </w:r>
      <w:hyperlink r:id="rId12">
        <w:r>
          <w:rPr>
            <w:rStyle w:val="Style8"/>
            <w:color w:val="0000FF"/>
            <w:szCs w:val="28"/>
          </w:rPr>
          <w:t>Правилами</w:t>
        </w:r>
      </w:hyperlink>
      <w:r>
        <w:rPr>
          <w:szCs w:val="28"/>
        </w:rPr>
        <w:t xml:space="preserve"> проведения экспертизы проектов административных регламентов предоставления муниципальных услуг, утверждённым постановлением Администрации </w:t>
      </w:r>
      <w:bookmarkStart w:id="2" w:name="_GoBack"/>
      <w:r>
        <w:rPr>
          <w:szCs w:val="28"/>
          <w:shd w:fill="auto" w:val="clear"/>
        </w:rPr>
        <w:t>от 20  апреля  2026г. №</w:t>
      </w:r>
      <w:bookmarkEnd w:id="2"/>
      <w:r>
        <w:rPr>
          <w:szCs w:val="28"/>
          <w:shd w:fill="auto" w:val="clear"/>
        </w:rPr>
        <w:t xml:space="preserve"> 265-П </w:t>
      </w:r>
      <w:r>
        <w:rPr>
          <w:szCs w:val="28"/>
        </w:rPr>
        <w:t>«Об утверждении Правил разработки и утверждения административных регламентов предоставления муниципальных услуг».</w:t>
      </w:r>
    </w:p>
    <w:p>
      <w:pPr>
        <w:pStyle w:val="Normal"/>
        <w:spacing w:lineRule="auto" w:line="240" w:before="200" w:after="0"/>
        <w:ind w:firstLine="540"/>
        <w:rPr>
          <w:szCs w:val="28"/>
        </w:rPr>
      </w:pPr>
      <w:r>
        <w:rPr>
          <w:szCs w:val="28"/>
        </w:rPr>
        <w:t>В случае если проект административного регламента затрагивает вопросы осуществления предпринимательской и инвестиционной деятельности, то он подлежит оценке регулирующего воздействия, проводимой в порядке, установленном муниципальным нормативным правовым актом Администрации.</w:t>
      </w:r>
    </w:p>
    <w:p>
      <w:pPr>
        <w:pStyle w:val="Normal"/>
        <w:spacing w:lineRule="auto" w:line="240" w:before="200" w:after="0"/>
        <w:ind w:firstLine="540"/>
        <w:rPr/>
      </w:pPr>
      <w:r>
        <w:rPr>
          <w:szCs w:val="28"/>
        </w:rPr>
        <w:t xml:space="preserve">Структурное подразделение, отраслевой (функциональный) орган  Администрации, являющийся разработчиком проекта административного регламента, готовит и представляет на экспертизу вместе с проектом административного регламента пояснительную записку, а также документы, предусмотренные </w:t>
      </w:r>
      <w:hyperlink r:id="rId13">
        <w:r>
          <w:rPr>
            <w:rStyle w:val="Style8"/>
            <w:color w:val="0000FF"/>
            <w:szCs w:val="28"/>
          </w:rPr>
          <w:t>пунктом 3</w:t>
        </w:r>
      </w:hyperlink>
      <w:r>
        <w:rPr>
          <w:szCs w:val="28"/>
        </w:rPr>
        <w:t xml:space="preserve"> Правил проведения экспертизы проектов административных регламентов предоставления муниципальных услуг, утвержденных постановлением </w:t>
      </w:r>
      <w:r>
        <w:rPr>
          <w:szCs w:val="28"/>
          <w:shd w:fill="auto" w:val="clear"/>
        </w:rPr>
        <w:t>от 20  апреля 2026г. № 265-П</w:t>
      </w:r>
      <w:r>
        <w:rPr>
          <w:szCs w:val="28"/>
        </w:rPr>
        <w:t xml:space="preserve"> «Об утверждении Правил разработки и утверждения административных регламентов предоставления муниципальных услуг»</w:t>
      </w:r>
    </w:p>
    <w:p>
      <w:pPr>
        <w:pStyle w:val="Normal"/>
        <w:spacing w:lineRule="auto" w:line="240" w:before="200" w:after="0"/>
        <w:ind w:firstLine="540"/>
        <w:rPr>
          <w:szCs w:val="28"/>
        </w:rPr>
      </w:pPr>
      <w:r>
        <w:rPr>
          <w:szCs w:val="28"/>
        </w:rPr>
        <w:t>В пояснительной записке к проекту административного регламента в том числе должны содержаться сведения о федеральных законах и иных нормативных правовых актах Российской Федерации, законах и иных нормативных правовых актах Ульяновской области, нормативных правовых актах Администрации, устанавливающих полномочие Администрации по предоставлению муниципальной услуги, информация об основных предполагаемых улучшениях предоставления муниципальной услуги в случае утверждения административного регламента, информация о результатах оценки регулирующего воздействия проекта административного регламента.</w:t>
      </w:r>
    </w:p>
    <w:p>
      <w:pPr>
        <w:pStyle w:val="Normal"/>
        <w:spacing w:lineRule="auto" w:line="240" w:before="200" w:after="0"/>
        <w:ind w:firstLine="540"/>
        <w:rPr/>
      </w:pPr>
      <w:r>
        <w:rPr/>
      </w:r>
    </w:p>
    <w:p>
      <w:pPr>
        <w:pStyle w:val="ConsPlusNormal"/>
        <w:numPr>
          <w:ilvl w:val="0"/>
          <w:numId w:val="0"/>
        </w:numPr>
        <w:ind w:hanging="0" w:left="0"/>
        <w:jc w:val="center"/>
        <w:outlineLvl w:val="1"/>
        <w:rPr>
          <w:rFonts w:ascii="Times New Roman" w:hAnsi="Times New Roman"/>
          <w:sz w:val="28"/>
          <w:szCs w:val="28"/>
        </w:rPr>
      </w:pPr>
      <w:r>
        <w:rPr>
          <w:rFonts w:ascii="Times New Roman" w:hAnsi="Times New Roman"/>
          <w:b/>
          <w:sz w:val="28"/>
          <w:szCs w:val="28"/>
        </w:rPr>
        <w:t>2. Требования к структуре и содержанию</w:t>
      </w:r>
    </w:p>
    <w:p>
      <w:pPr>
        <w:pStyle w:val="ConsPlusNormal"/>
        <w:jc w:val="center"/>
        <w:rPr>
          <w:rFonts w:ascii="Times New Roman" w:hAnsi="Times New Roman"/>
          <w:sz w:val="28"/>
          <w:szCs w:val="28"/>
        </w:rPr>
      </w:pPr>
      <w:r>
        <w:rPr>
          <w:rFonts w:ascii="Times New Roman" w:hAnsi="Times New Roman"/>
          <w:b/>
          <w:sz w:val="28"/>
          <w:szCs w:val="28"/>
        </w:rPr>
        <w:t>административных регламентов</w:t>
      </w:r>
    </w:p>
    <w:p>
      <w:pPr>
        <w:pStyle w:val="ConsPlusNormal"/>
        <w:jc w:val="both"/>
        <w:rPr>
          <w:rFonts w:ascii="Times New Roman" w:hAnsi="Times New Roman"/>
          <w:sz w:val="28"/>
          <w:szCs w:val="28"/>
        </w:rPr>
      </w:pPr>
      <w:r>
        <w:rPr>
          <w:rFonts w:ascii="Times New Roman" w:hAnsi="Times New Roman"/>
          <w:sz w:val="28"/>
          <w:szCs w:val="28"/>
        </w:rPr>
      </w:r>
    </w:p>
    <w:p>
      <w:pPr>
        <w:pStyle w:val="ConsPlusNormal"/>
        <w:ind w:firstLine="540"/>
        <w:jc w:val="both"/>
        <w:rPr>
          <w:rFonts w:ascii="Times New Roman" w:hAnsi="Times New Roman"/>
          <w:sz w:val="28"/>
          <w:szCs w:val="28"/>
        </w:rPr>
      </w:pPr>
      <w:r>
        <w:rPr>
          <w:rFonts w:ascii="Times New Roman" w:hAnsi="Times New Roman"/>
          <w:sz w:val="28"/>
          <w:szCs w:val="28"/>
        </w:rPr>
        <w:t>2.1. В административный регламент включаются следующие разделы:</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 общие положения;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 стандарт предоставления муниципальной услуги;</w:t>
      </w:r>
    </w:p>
    <w:p>
      <w:pPr>
        <w:pStyle w:val="ConsPlusNormal"/>
        <w:spacing w:before="160" w:after="0"/>
        <w:ind w:firstLine="540"/>
        <w:jc w:val="both"/>
        <w:rPr/>
      </w:pPr>
      <w:bookmarkStart w:id="3" w:name="Par51"/>
      <w:bookmarkEnd w:id="3"/>
      <w:r>
        <w:rPr>
          <w:rFonts w:ascii="Times New Roman" w:hAnsi="Times New Roman"/>
          <w:sz w:val="28"/>
          <w:szCs w:val="28"/>
        </w:rPr>
        <w:t>3)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2 и более раза);</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4) способы информирования заявителя об изменении статуса рассмотрения запроса о предоставлении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2.2. В раздел «Общие положения» включаются следующие положения: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 предмет регулирования административного регламента;</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 круг заявителей;</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государственных и муниципальных услуг).</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2.3. Раздел «Стандарт предоставления муниципальной услуги» состоит из следующих подразделов:</w:t>
      </w:r>
    </w:p>
    <w:p>
      <w:pPr>
        <w:pStyle w:val="ConsPlusNormal"/>
        <w:spacing w:before="160" w:after="0"/>
        <w:ind w:firstLine="540"/>
        <w:jc w:val="both"/>
        <w:rPr>
          <w:rFonts w:ascii="Times New Roman" w:hAnsi="Times New Roman"/>
          <w:sz w:val="28"/>
          <w:szCs w:val="28"/>
        </w:rPr>
      </w:pPr>
      <w:bookmarkStart w:id="4" w:name="Par58"/>
      <w:bookmarkEnd w:id="4"/>
      <w:r>
        <w:rPr>
          <w:rFonts w:ascii="Times New Roman" w:hAnsi="Times New Roman"/>
          <w:sz w:val="28"/>
          <w:szCs w:val="28"/>
        </w:rPr>
        <w:t>1) наименование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 наименование органа, предоставляющего муниципальную услугу;</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3) результат предоставления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4) срок предоставления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5) размер платы, взимаемой с заявителя при предоставлении муниципальной услуги, и способы ее взимания;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в многофункциональный центр предоставления государственных и муниципальных услуг (далее – многофункциональный центр));</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7) срок регистрации запроса заявителя о предоставлении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8)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в многофункциональный центр);</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9) показатели доступности и качества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11) исчерпывающий перечень документов, необходимых для предоставления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2.3.1. Подраздел «Наименование органа, предоставляющего муниципальную услугу» должен включать полное наименование органа, предоставляющего муниципальную услугу.</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2.3.2. Подраздел «Результат предоставления муниципальной услуги» должен включать следующие положения: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 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 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3) перечень способов получения результата (результатов) предоставления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2.3.3.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учётом категории (признаков) заявителя и способа подачи указанного запроса.</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2.3.4. В подраздел «Размер платы, взимаемой с заявителя при предоставлении муниципальной услуги, и способы её взимания» включаются следующие положения: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 сведения о размещении на Едином портале государственных и муниципальных услуг информации о размере платы, взимаемой за предоставление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 порядок и способы её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Ульяновской области, муниципальными нормативными правовыми актами Администрации.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2.3.5.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учётом способа подачи указанного запроса.</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2.3.6. 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требований, которым должны соответствовать такие помещения.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2.3.7. 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перечня показателей доступности и качества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2.3.8. В подраздел «Иные требования к предоставлению муниципальной услуги» включаются следующие положения: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 перечень услуг, которые являются необходимыми и обязательными для предоставления муниципальной услуги, или указание на их отсутствие;</w:t>
      </w:r>
    </w:p>
    <w:p>
      <w:pPr>
        <w:pStyle w:val="ConsPlusNormal"/>
        <w:spacing w:before="160" w:after="0"/>
        <w:ind w:firstLine="540"/>
        <w:jc w:val="both"/>
        <w:rPr/>
      </w:pPr>
      <w:r>
        <w:rPr>
          <w:rFonts w:ascii="Times New Roman" w:hAnsi="Times New Roman"/>
          <w:sz w:val="28"/>
          <w:szCs w:val="28"/>
        </w:rPr>
        <w:t xml:space="preserve">2) наличие или отсутствие платы за предоставление указанных в </w:t>
      </w:r>
      <w:hyperlink w:anchor="Par58">
        <w:r>
          <w:rPr>
            <w:rStyle w:val="Style8"/>
            <w:rFonts w:ascii="Times New Roman" w:hAnsi="Times New Roman"/>
            <w:color w:val="000000"/>
            <w:sz w:val="28"/>
            <w:szCs w:val="28"/>
          </w:rPr>
          <w:t>подпункте 1</w:t>
        </w:r>
      </w:hyperlink>
      <w:r>
        <w:rPr>
          <w:rFonts w:ascii="Times New Roman" w:hAnsi="Times New Roman"/>
          <w:color w:val="000000"/>
          <w:sz w:val="28"/>
          <w:szCs w:val="28"/>
        </w:rPr>
        <w:t xml:space="preserve"> </w:t>
      </w:r>
      <w:r>
        <w:rPr>
          <w:rFonts w:ascii="Times New Roman" w:hAnsi="Times New Roman"/>
          <w:sz w:val="28"/>
          <w:szCs w:val="28"/>
        </w:rPr>
        <w:t>настоящего подпункта услуг (при наличии таких услуг);</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3) перечень информационных систем, используемых для предоставления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4)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6)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7)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органом, предоставляющим муниципальную услугу, а также выдачи документов, включая составление на бумажном носителе и заверение выписок из информационных систем органа, предоставляющего муниципальную услугу.</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2.3.9. Подраздел «Исчерпывающий перечень документов, необходимых для предоставления муниципальной услуги» должен включать следующие положения:</w:t>
      </w:r>
    </w:p>
    <w:p>
      <w:pPr>
        <w:pStyle w:val="ConsPlusNormal"/>
        <w:spacing w:before="160" w:after="0"/>
        <w:ind w:firstLine="540"/>
        <w:jc w:val="both"/>
        <w:rPr/>
      </w:pPr>
      <w:bookmarkStart w:id="5" w:name="Par91"/>
      <w:bookmarkEnd w:id="5"/>
      <w:r>
        <w:rPr>
          <w:rFonts w:ascii="Times New Roman" w:hAnsi="Times New Roman"/>
          <w:sz w:val="28"/>
          <w:szCs w:val="28"/>
        </w:rPr>
        <w:t xml:space="preserve">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w:t>
      </w:r>
      <w:hyperlink w:anchor="Par155">
        <w:r>
          <w:rPr>
            <w:rStyle w:val="Style8"/>
            <w:rFonts w:ascii="Times New Roman" w:hAnsi="Times New Roman"/>
            <w:color w:val="000000"/>
            <w:sz w:val="28"/>
            <w:szCs w:val="28"/>
          </w:rPr>
          <w:t>подпункта 2.6.2 пункта 2.6</w:t>
        </w:r>
      </w:hyperlink>
      <w:r>
        <w:rPr>
          <w:rFonts w:ascii="Times New Roman" w:hAnsi="Times New Roman"/>
          <w:color w:val="000000"/>
          <w:sz w:val="28"/>
          <w:szCs w:val="28"/>
        </w:rPr>
        <w:t xml:space="preserve"> настоящего раздела,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pPr>
        <w:pStyle w:val="ConsPlusNormal"/>
        <w:spacing w:before="160" w:after="0"/>
        <w:ind w:firstLine="540"/>
        <w:jc w:val="both"/>
        <w:rPr/>
      </w:pPr>
      <w:r>
        <w:rPr>
          <w:rFonts w:ascii="Times New Roman" w:hAnsi="Times New Roman"/>
          <w:color w:val="000000"/>
          <w:sz w:val="28"/>
          <w:szCs w:val="28"/>
        </w:rPr>
        <w:t xml:space="preserve">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w:t>
      </w:r>
      <w:hyperlink w:anchor="Par99">
        <w:r>
          <w:rPr>
            <w:rStyle w:val="Style8"/>
            <w:rFonts w:ascii="Times New Roman" w:hAnsi="Times New Roman"/>
            <w:color w:val="000000"/>
            <w:sz w:val="28"/>
            <w:szCs w:val="28"/>
          </w:rPr>
          <w:t>подпунктом 2.3.12</w:t>
        </w:r>
      </w:hyperlink>
      <w:r>
        <w:rPr>
          <w:rFonts w:ascii="Times New Roman" w:hAnsi="Times New Roman"/>
          <w:color w:val="000000"/>
          <w:sz w:val="28"/>
          <w:szCs w:val="28"/>
        </w:rPr>
        <w:t xml:space="preserve"> н</w:t>
      </w:r>
      <w:r>
        <w:rPr>
          <w:rFonts w:ascii="Times New Roman" w:hAnsi="Times New Roman"/>
          <w:sz w:val="28"/>
          <w:szCs w:val="28"/>
        </w:rPr>
        <w:t>астоящего пункта, в качестве приложения к административному регламенту.</w:t>
      </w:r>
    </w:p>
    <w:p>
      <w:pPr>
        <w:pStyle w:val="ConsPlusNormal"/>
        <w:spacing w:before="160" w:after="0"/>
        <w:ind w:firstLine="540"/>
        <w:jc w:val="both"/>
        <w:rPr/>
      </w:pPr>
      <w:r>
        <w:rPr>
          <w:rFonts w:ascii="Times New Roman" w:hAnsi="Times New Roman"/>
          <w:sz w:val="28"/>
          <w:szCs w:val="28"/>
        </w:rPr>
        <w:t xml:space="preserve">2.3.10.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w:t>
      </w:r>
      <w:hyperlink w:anchor="Par155">
        <w:r>
          <w:rPr>
            <w:rStyle w:val="Style8"/>
            <w:rFonts w:ascii="Times New Roman" w:hAnsi="Times New Roman"/>
            <w:color w:val="000000"/>
            <w:sz w:val="28"/>
            <w:szCs w:val="28"/>
          </w:rPr>
          <w:t>подпунктом 2.6.2 пункта 2.6</w:t>
        </w:r>
      </w:hyperlink>
      <w:r>
        <w:rPr>
          <w:rFonts w:ascii="Times New Roman" w:hAnsi="Times New Roman"/>
          <w:color w:val="000000"/>
          <w:sz w:val="28"/>
          <w:szCs w:val="28"/>
        </w:rPr>
        <w:t xml:space="preserve"> настоящего раздела.</w:t>
      </w:r>
    </w:p>
    <w:p>
      <w:pPr>
        <w:pStyle w:val="ConsPlusNormal"/>
        <w:spacing w:before="160" w:after="0"/>
        <w:ind w:firstLine="540"/>
        <w:jc w:val="both"/>
        <w:rPr>
          <w:rFonts w:ascii="Times New Roman" w:hAnsi="Times New Roman"/>
          <w:sz w:val="28"/>
          <w:szCs w:val="28"/>
        </w:rPr>
      </w:pPr>
      <w:bookmarkStart w:id="6" w:name="Par99"/>
      <w:bookmarkEnd w:id="6"/>
      <w:r>
        <w:rPr>
          <w:rFonts w:ascii="Times New Roman" w:hAnsi="Times New Roman"/>
          <w:sz w:val="28"/>
          <w:szCs w:val="28"/>
        </w:rPr>
        <w:t>2.3.11.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2.3.12. Подраздел «Исчерпывающий 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а) 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pPr>
        <w:pStyle w:val="ConsPlusNormal"/>
        <w:spacing w:before="160" w:after="0"/>
        <w:ind w:firstLine="540"/>
        <w:jc w:val="both"/>
        <w:rPr>
          <w:rFonts w:ascii="Times New Roman" w:hAnsi="Times New Roman"/>
          <w:sz w:val="28"/>
          <w:szCs w:val="28"/>
        </w:rPr>
      </w:pPr>
      <w:bookmarkStart w:id="7" w:name="Par96"/>
      <w:bookmarkEnd w:id="7"/>
      <w:r>
        <w:rPr>
          <w:rFonts w:ascii="Times New Roman" w:hAnsi="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pPr>
        <w:pStyle w:val="ConsPlusNormal"/>
        <w:spacing w:before="160" w:after="0"/>
        <w:ind w:firstLine="540"/>
        <w:jc w:val="both"/>
        <w:rPr/>
      </w:pPr>
      <w:r>
        <w:rPr>
          <w:rFonts w:ascii="Times New Roman" w:hAnsi="Times New Roman"/>
          <w:sz w:val="28"/>
          <w:szCs w:val="28"/>
        </w:rPr>
        <w:t xml:space="preserve">г) сведения о приведении в приложении к административному регламенту, указанному в </w:t>
      </w:r>
      <w:hyperlink w:anchor="Par146">
        <w:r>
          <w:rPr>
            <w:rStyle w:val="Style8"/>
            <w:rFonts w:ascii="Times New Roman" w:hAnsi="Times New Roman"/>
            <w:color w:val="000000"/>
            <w:sz w:val="28"/>
            <w:szCs w:val="28"/>
          </w:rPr>
          <w:t>пункте 2.6</w:t>
        </w:r>
      </w:hyperlink>
      <w:r>
        <w:rPr>
          <w:rFonts w:ascii="Times New Roman" w:hAnsi="Times New Roman"/>
          <w:color w:val="000000"/>
          <w:sz w:val="28"/>
          <w:szCs w:val="28"/>
        </w:rPr>
        <w:t xml:space="preserve"> настоящего раздела, оснований, предусмотренных </w:t>
      </w:r>
      <w:hyperlink w:anchor="Par91">
        <w:r>
          <w:rPr>
            <w:rStyle w:val="Style8"/>
            <w:rFonts w:ascii="Times New Roman" w:hAnsi="Times New Roman"/>
            <w:color w:val="000000"/>
            <w:sz w:val="28"/>
            <w:szCs w:val="28"/>
          </w:rPr>
          <w:t>подпунктами «а</w:t>
        </w:r>
      </w:hyperlink>
      <w:r>
        <w:rPr>
          <w:rFonts w:ascii="Times New Roman" w:hAnsi="Times New Roman"/>
          <w:color w:val="000000"/>
          <w:sz w:val="28"/>
          <w:szCs w:val="28"/>
        </w:rPr>
        <w:t>» - «</w:t>
      </w:r>
      <w:hyperlink w:anchor="Par96">
        <w:r>
          <w:rPr>
            <w:rStyle w:val="Style8"/>
            <w:rFonts w:ascii="Times New Roman" w:hAnsi="Times New Roman"/>
            <w:color w:val="000000"/>
            <w:sz w:val="28"/>
            <w:szCs w:val="28"/>
          </w:rPr>
          <w:t>в</w:t>
        </w:r>
      </w:hyperlink>
      <w:r>
        <w:rPr>
          <w:rFonts w:ascii="Times New Roman" w:hAnsi="Times New Roman"/>
          <w:color w:val="000000"/>
          <w:sz w:val="28"/>
          <w:szCs w:val="28"/>
        </w:rPr>
        <w:t xml:space="preserve">» </w:t>
      </w:r>
      <w:r>
        <w:rPr>
          <w:rFonts w:ascii="Times New Roman" w:hAnsi="Times New Roman"/>
          <w:sz w:val="28"/>
          <w:szCs w:val="28"/>
        </w:rPr>
        <w:t>настоящего подпункта, с учётом категорий (признаков) заявителя (при наличии таких оснований).</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2.4. Раздел «Состав, последовательность и сроки выполнения административных процедур» определяет требования к правилам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в многофункциональных центрах, и должен содержать следующие подразделы:</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 перечень осуществляемых при предоставлении муниципальной услуги административных процедур;</w:t>
      </w:r>
    </w:p>
    <w:p>
      <w:pPr>
        <w:pStyle w:val="ConsPlusNormal"/>
        <w:spacing w:before="160" w:after="0"/>
        <w:ind w:firstLine="540"/>
        <w:jc w:val="both"/>
        <w:rPr/>
      </w:pPr>
      <w:r>
        <w:rPr>
          <w:rFonts w:ascii="Times New Roman" w:hAnsi="Times New Roman"/>
          <w:sz w:val="28"/>
          <w:szCs w:val="28"/>
        </w:rPr>
        <w:t xml:space="preserve">2) подразделы, содержащие описание каждой административной процедуры, осуществляемой при предоставлении муниципальной услуги, в случаях, указанных </w:t>
      </w:r>
      <w:r>
        <w:rPr>
          <w:rFonts w:ascii="Times New Roman" w:hAnsi="Times New Roman"/>
          <w:color w:val="000000"/>
          <w:sz w:val="28"/>
          <w:szCs w:val="28"/>
        </w:rPr>
        <w:t xml:space="preserve">в </w:t>
      </w:r>
      <w:hyperlink w:anchor="Par51">
        <w:r>
          <w:rPr>
            <w:rStyle w:val="Style8"/>
            <w:rFonts w:ascii="Times New Roman" w:hAnsi="Times New Roman"/>
            <w:color w:val="000000"/>
            <w:sz w:val="28"/>
            <w:szCs w:val="28"/>
          </w:rPr>
          <w:t>подпункте 3 пункта 2.1</w:t>
        </w:r>
      </w:hyperlink>
      <w:r>
        <w:rPr>
          <w:rFonts w:ascii="Times New Roman" w:hAnsi="Times New Roman"/>
          <w:color w:val="000000"/>
          <w:sz w:val="28"/>
          <w:szCs w:val="28"/>
        </w:rPr>
        <w:t xml:space="preserve"> на</w:t>
      </w:r>
      <w:r>
        <w:rPr>
          <w:rFonts w:ascii="Times New Roman" w:hAnsi="Times New Roman"/>
          <w:sz w:val="28"/>
          <w:szCs w:val="28"/>
        </w:rPr>
        <w:t>стоящего раздела;</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3) подраздел, описывающий предоставление муниципальной услуги в упреждающем (проактивном) режиме (в случае если предполагается предоставление муниципальной услуги в упреждающем (проактивном) режиме), в который включаются следующие положения:</w:t>
      </w:r>
    </w:p>
    <w:p>
      <w:pPr>
        <w:pStyle w:val="ConsPlusNormal"/>
        <w:spacing w:before="160" w:after="0"/>
        <w:ind w:firstLine="540"/>
        <w:jc w:val="both"/>
        <w:rPr/>
      </w:pPr>
      <w:r>
        <w:rPr>
          <w:rFonts w:ascii="Times New Roman" w:hAnsi="Times New Roman"/>
          <w:sz w:val="28"/>
          <w:szCs w:val="28"/>
        </w:rPr>
        <w:t xml:space="preserve">а) указание на возможность предварительной подачи заявителем запроса о предоставлении ему муниципальной услуги в упреждающем (проактивном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w:t>
      </w:r>
      <w:r>
        <w:rPr>
          <w:rFonts w:ascii="Times New Roman" w:hAnsi="Times New Roman"/>
          <w:color w:val="000000"/>
          <w:sz w:val="28"/>
          <w:szCs w:val="28"/>
        </w:rPr>
        <w:t xml:space="preserve"> с </w:t>
      </w:r>
      <w:hyperlink r:id="rId14">
        <w:r>
          <w:rPr>
            <w:rStyle w:val="Style8"/>
            <w:rFonts w:ascii="Times New Roman" w:hAnsi="Times New Roman"/>
            <w:color w:val="000000"/>
            <w:sz w:val="28"/>
            <w:szCs w:val="28"/>
          </w:rPr>
          <w:t>пунктом 1 части 1 статьи 7.3</w:t>
        </w:r>
      </w:hyperlink>
      <w:r>
        <w:rPr>
          <w:rFonts w:ascii="Times New Roman" w:hAnsi="Times New Roman"/>
          <w:color w:val="000000"/>
          <w:sz w:val="28"/>
          <w:szCs w:val="28"/>
        </w:rPr>
        <w:t xml:space="preserve"> Федерального закона «Об организац</w:t>
      </w:r>
      <w:r>
        <w:rPr>
          <w:rFonts w:ascii="Times New Roman" w:hAnsi="Times New Roman"/>
          <w:sz w:val="28"/>
          <w:szCs w:val="28"/>
        </w:rPr>
        <w:t>ии предоставления государственных и муниципальных услуг»;</w:t>
      </w:r>
    </w:p>
    <w:p>
      <w:pPr>
        <w:pStyle w:val="ConsPlusNormal"/>
        <w:spacing w:before="160" w:after="0"/>
        <w:ind w:firstLine="540"/>
        <w:jc w:val="both"/>
        <w:rPr>
          <w:rFonts w:ascii="Times New Roman" w:hAnsi="Times New Roman"/>
          <w:sz w:val="28"/>
          <w:szCs w:val="28"/>
        </w:rPr>
      </w:pPr>
      <w:bookmarkStart w:id="8" w:name="Par105"/>
      <w:bookmarkEnd w:id="8"/>
      <w:r>
        <w:rPr>
          <w:rFonts w:ascii="Times New Roman" w:hAnsi="Times New Roman"/>
          <w:sz w:val="28"/>
          <w:szCs w:val="28"/>
        </w:rPr>
        <w:t>б) 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(проактивном) режиме;</w:t>
      </w:r>
    </w:p>
    <w:p>
      <w:pPr>
        <w:pStyle w:val="ConsPlusNormal"/>
        <w:spacing w:before="160" w:after="0"/>
        <w:ind w:firstLine="540"/>
        <w:jc w:val="both"/>
        <w:rPr/>
      </w:pPr>
      <w:r>
        <w:rPr>
          <w:rFonts w:ascii="Times New Roman" w:hAnsi="Times New Roman"/>
          <w:sz w:val="28"/>
          <w:szCs w:val="28"/>
        </w:rPr>
        <w:t xml:space="preserve">в)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w:t>
      </w:r>
      <w:r>
        <w:rPr>
          <w:rFonts w:ascii="Times New Roman" w:hAnsi="Times New Roman"/>
          <w:color w:val="000000"/>
          <w:sz w:val="28"/>
          <w:szCs w:val="28"/>
        </w:rPr>
        <w:t xml:space="preserve">в </w:t>
      </w:r>
      <w:hyperlink w:anchor="Par105">
        <w:r>
          <w:rPr>
            <w:rStyle w:val="Style8"/>
            <w:rFonts w:ascii="Times New Roman" w:hAnsi="Times New Roman"/>
            <w:color w:val="000000"/>
            <w:sz w:val="28"/>
            <w:szCs w:val="28"/>
          </w:rPr>
          <w:t>подпункте «б</w:t>
        </w:r>
      </w:hyperlink>
      <w:r>
        <w:rPr>
          <w:rFonts w:ascii="Times New Roman" w:hAnsi="Times New Roman"/>
          <w:color w:val="000000"/>
          <w:sz w:val="28"/>
          <w:szCs w:val="28"/>
        </w:rPr>
        <w:t>» настоящего подпункта.</w:t>
      </w:r>
    </w:p>
    <w:p>
      <w:pPr>
        <w:pStyle w:val="ConsPlusNormal"/>
        <w:spacing w:before="160" w:after="0"/>
        <w:ind w:firstLine="540"/>
        <w:jc w:val="both"/>
        <w:rPr>
          <w:rFonts w:ascii="Times New Roman" w:hAnsi="Times New Roman"/>
          <w:color w:val="000000"/>
          <w:sz w:val="28"/>
          <w:szCs w:val="28"/>
        </w:rPr>
      </w:pPr>
      <w:r>
        <w:rPr>
          <w:rFonts w:ascii="Times New Roman" w:hAnsi="Times New Roman"/>
          <w:color w:val="000000"/>
          <w:sz w:val="28"/>
          <w:szCs w:val="28"/>
        </w:rPr>
        <w:t>2.4.1.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pPr>
        <w:pStyle w:val="ConsPlusNormal"/>
        <w:spacing w:before="160" w:after="0"/>
        <w:ind w:firstLine="540"/>
        <w:jc w:val="both"/>
        <w:rPr/>
      </w:pPr>
      <w:r>
        <w:rPr>
          <w:rFonts w:ascii="Times New Roman" w:hAnsi="Times New Roman"/>
          <w:color w:val="000000"/>
          <w:sz w:val="28"/>
          <w:szCs w:val="28"/>
        </w:rPr>
        <w:t xml:space="preserve">В приложении к административному регламенту приводятся идентификаторы категорий (признаков) заявителей в соответствии с </w:t>
      </w:r>
      <w:hyperlink w:anchor="Par152">
        <w:r>
          <w:rPr>
            <w:rStyle w:val="Style8"/>
            <w:rFonts w:ascii="Times New Roman" w:hAnsi="Times New Roman"/>
            <w:color w:val="000000"/>
            <w:sz w:val="28"/>
            <w:szCs w:val="28"/>
          </w:rPr>
          <w:t>подпунктом 2.6.1 пункта 2.6</w:t>
        </w:r>
      </w:hyperlink>
      <w:r>
        <w:rPr>
          <w:rFonts w:ascii="Times New Roman" w:hAnsi="Times New Roman"/>
          <w:color w:val="000000"/>
          <w:sz w:val="28"/>
          <w:szCs w:val="28"/>
        </w:rPr>
        <w:t xml:space="preserve"> настоящего раздела.</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2.4.2. В описание административной процедуры приема запроса, документов и (или) информации, необходимых для предоставления муниципальной услуги, включаются следующие положения: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 способы установления личности заявителя (представителя заявителя);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3)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4)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5)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2.4.3. В описание административной процедуры межведомственного информационного взаимодействия включаются: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 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 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2.4.4. В описание административной процедуры приостановления предоставления муниципальной услуги включаются следующие положения: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 сведения о приведении в приложении к административному регламенту оснований для приостановления предоставления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 состав и содержание осуществляемых при приостановлении предоставления муниципальной услуги административных действий;</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3) перечень оснований для возобновления предоставления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4) срок приостановления предоставления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2.4.5.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 срок принятия решения о предоставлении (об отказе в предоставлении) муниципальной услуги, исчисляемый со дня получения органом, предоставляющим муниципальную услугу, всех сведений, необходимых для принятия решения.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2.4.6. В описание административной процедуры предоставления результата муниципальной услуги включаются следующие положения: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 срок предоставления заявителю результата муниципальной услуги, исчисляемый со дня принятия решения о предоставлении муниципальной услуги с учётом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места его жительства или места пребывания (для физических лиц, включая индивидуальных предпринимателей) либо места нахождения (для юридических лиц).</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2.4.7. В описание административной процедуры получения дополнительных сведений от заявителя включаются следующие положения: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 основания для получения от заявителя дополнительных документов и (или) информации в процессе предоставления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 срок, необходимый для получения таких документов и (или) информации;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3) указание на необходимость (отсутствие необходимости) приостановления предоставления муниципальной услуги - в случае необходимости получения от заявителя дополнительных сведений;</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4) перечень органов государственной власти, организаций, участвующих в административной процедуре, – если они известны (в случае необходимости).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2.4.8. 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а) наименование и продолжительность процедуры оценки;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б) субъекты, проводящие процедуру оценки;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в) объект (объекты) процедуры оценки;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г) место проведения процедуры оценки (при наличии);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д) наименование документа, являющегося результатом процедуры оценки (при наличии).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2.4.9.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а) способ распределения ограниченного ресурса;</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в) наименование ограниченного ресурса;</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г) продолжительность процедуры распределения ограниченного ресурса.</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2.5.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pPr>
        <w:pStyle w:val="ConsPlusNormal"/>
        <w:spacing w:before="160" w:after="0"/>
        <w:ind w:firstLine="540"/>
        <w:jc w:val="both"/>
        <w:rPr>
          <w:rFonts w:ascii="Times New Roman" w:hAnsi="Times New Roman"/>
          <w:sz w:val="28"/>
          <w:szCs w:val="28"/>
        </w:rPr>
      </w:pPr>
      <w:bookmarkStart w:id="9" w:name="Par146"/>
      <w:bookmarkEnd w:id="9"/>
      <w:r>
        <w:rPr>
          <w:rFonts w:ascii="Times New Roman" w:hAnsi="Times New Roman"/>
          <w:sz w:val="28"/>
          <w:szCs w:val="28"/>
        </w:rPr>
        <w:t>2.6. Приложение к административному регламенту включает:</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 перечень условных обозначений и сокращений;</w:t>
      </w:r>
    </w:p>
    <w:p>
      <w:pPr>
        <w:pStyle w:val="ConsPlusNormal"/>
        <w:spacing w:before="160" w:after="0"/>
        <w:ind w:firstLine="540"/>
        <w:jc w:val="both"/>
        <w:rPr>
          <w:rFonts w:ascii="Times New Roman" w:hAnsi="Times New Roman"/>
          <w:sz w:val="28"/>
          <w:szCs w:val="28"/>
        </w:rPr>
      </w:pPr>
      <w:bookmarkStart w:id="10" w:name="Par148"/>
      <w:bookmarkEnd w:id="10"/>
      <w:r>
        <w:rPr>
          <w:rFonts w:ascii="Times New Roman" w:hAnsi="Times New Roman"/>
          <w:sz w:val="28"/>
          <w:szCs w:val="28"/>
        </w:rPr>
        <w:t>2) идентификаторы категорий (признаков) заявителей в табличной форме;</w:t>
      </w:r>
    </w:p>
    <w:p>
      <w:pPr>
        <w:pStyle w:val="ConsPlusNormal"/>
        <w:spacing w:before="160" w:after="0"/>
        <w:ind w:firstLine="540"/>
        <w:jc w:val="both"/>
        <w:rPr>
          <w:rFonts w:ascii="Times New Roman" w:hAnsi="Times New Roman"/>
          <w:sz w:val="28"/>
          <w:szCs w:val="28"/>
        </w:rPr>
      </w:pPr>
      <w:bookmarkStart w:id="11" w:name="Par149"/>
      <w:bookmarkEnd w:id="11"/>
      <w:r>
        <w:rPr>
          <w:rFonts w:ascii="Times New Roman" w:hAnsi="Times New Roman"/>
          <w:sz w:val="28"/>
          <w:szCs w:val="28"/>
        </w:rPr>
        <w:t>3) исчерпывающий перечень документов, необходимых для предоставления муниципальной услуги, в табличной форме;</w:t>
      </w:r>
    </w:p>
    <w:p>
      <w:pPr>
        <w:pStyle w:val="ConsPlusNormal"/>
        <w:spacing w:before="160" w:after="0"/>
        <w:ind w:firstLine="540"/>
        <w:jc w:val="both"/>
        <w:rPr>
          <w:rFonts w:ascii="Times New Roman" w:hAnsi="Times New Roman"/>
          <w:sz w:val="28"/>
          <w:szCs w:val="28"/>
        </w:rPr>
      </w:pPr>
      <w:bookmarkStart w:id="12" w:name="Par150"/>
      <w:bookmarkEnd w:id="12"/>
      <w:r>
        <w:rPr>
          <w:rFonts w:ascii="Times New Roman" w:hAnsi="Times New Roman"/>
          <w:sz w:val="28"/>
          <w:szCs w:val="28"/>
        </w:rPr>
        <w:t>4) исчерпывающий 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pPr>
        <w:pStyle w:val="ConsPlusNormal"/>
        <w:spacing w:before="160" w:after="0"/>
        <w:ind w:firstLine="540"/>
        <w:jc w:val="both"/>
        <w:rPr/>
      </w:pPr>
      <w:r>
        <w:rPr>
          <w:rFonts w:ascii="Times New Roman" w:hAnsi="Times New Roman"/>
          <w:sz w:val="28"/>
          <w:szCs w:val="28"/>
        </w:rPr>
        <w:t>5) формы запроса о предоставлении муниципальной услуги и документов, необходимых для предоставления муниципальной услуги, в соответствии с</w:t>
      </w:r>
      <w:r>
        <w:rPr>
          <w:rFonts w:ascii="Times New Roman" w:hAnsi="Times New Roman"/>
          <w:color w:val="000000"/>
          <w:sz w:val="28"/>
          <w:szCs w:val="28"/>
        </w:rPr>
        <w:t xml:space="preserve"> </w:t>
      </w:r>
      <w:hyperlink w:anchor="Par99">
        <w:r>
          <w:rPr>
            <w:rStyle w:val="Style8"/>
            <w:rFonts w:ascii="Times New Roman" w:hAnsi="Times New Roman"/>
            <w:color w:val="000000"/>
            <w:sz w:val="28"/>
            <w:szCs w:val="28"/>
          </w:rPr>
          <w:t>подпунктом 2.3.12 пункта 2.3</w:t>
        </w:r>
      </w:hyperlink>
      <w:r>
        <w:rPr>
          <w:rFonts w:ascii="Times New Roman" w:hAnsi="Times New Roman"/>
          <w:color w:val="000000"/>
          <w:sz w:val="28"/>
          <w:szCs w:val="28"/>
        </w:rPr>
        <w:t xml:space="preserve"> н</w:t>
      </w:r>
      <w:r>
        <w:rPr>
          <w:rFonts w:ascii="Times New Roman" w:hAnsi="Times New Roman"/>
          <w:sz w:val="28"/>
          <w:szCs w:val="28"/>
        </w:rPr>
        <w:t>астоящего раздела,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w:t>
      </w:r>
    </w:p>
    <w:p>
      <w:pPr>
        <w:pStyle w:val="ConsPlusNormal"/>
        <w:spacing w:before="160" w:after="0"/>
        <w:ind w:firstLine="540"/>
        <w:jc w:val="both"/>
        <w:rPr/>
      </w:pPr>
      <w:bookmarkStart w:id="13" w:name="Par152"/>
      <w:bookmarkEnd w:id="13"/>
      <w:r>
        <w:rPr>
          <w:rFonts w:ascii="Times New Roman" w:hAnsi="Times New Roman"/>
          <w:sz w:val="28"/>
          <w:szCs w:val="28"/>
        </w:rPr>
        <w:t xml:space="preserve">2.6.1. Идентификаторы категорий (признаков) заявителей, указанные в </w:t>
      </w:r>
      <w:hyperlink w:anchor="Par148">
        <w:r>
          <w:rPr>
            <w:rStyle w:val="Style8"/>
            <w:rFonts w:ascii="Times New Roman" w:hAnsi="Times New Roman"/>
            <w:color w:val="000000"/>
            <w:sz w:val="28"/>
            <w:szCs w:val="28"/>
          </w:rPr>
          <w:t>подпункте 2 пункта 2.6</w:t>
        </w:r>
      </w:hyperlink>
      <w:r>
        <w:rPr>
          <w:rFonts w:ascii="Times New Roman" w:hAnsi="Times New Roman"/>
          <w:color w:val="000000"/>
          <w:sz w:val="28"/>
          <w:szCs w:val="28"/>
        </w:rPr>
        <w:t xml:space="preserve"> </w:t>
      </w:r>
      <w:r>
        <w:rPr>
          <w:rFonts w:ascii="Times New Roman" w:hAnsi="Times New Roman"/>
          <w:sz w:val="28"/>
          <w:szCs w:val="28"/>
        </w:rPr>
        <w:t>настоящего раздела, включают следующие взаимосвязанные сведения:</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 перечень результатов предоставления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 перечень отдельных признаков заявителей.</w:t>
      </w:r>
    </w:p>
    <w:p>
      <w:pPr>
        <w:pStyle w:val="ConsPlusNormal"/>
        <w:spacing w:before="160" w:after="0"/>
        <w:ind w:firstLine="540"/>
        <w:jc w:val="both"/>
        <w:rPr/>
      </w:pPr>
      <w:bookmarkStart w:id="14" w:name="Par155"/>
      <w:bookmarkEnd w:id="14"/>
      <w:r>
        <w:rPr>
          <w:rFonts w:ascii="Times New Roman" w:hAnsi="Times New Roman"/>
          <w:sz w:val="28"/>
          <w:szCs w:val="28"/>
        </w:rPr>
        <w:t xml:space="preserve">2.6.2. Исчерпывающий перечень документов, необходимых для предоставления муниципальной </w:t>
      </w:r>
      <w:r>
        <w:rPr>
          <w:rFonts w:ascii="Times New Roman" w:hAnsi="Times New Roman"/>
          <w:color w:val="000000"/>
          <w:sz w:val="28"/>
          <w:szCs w:val="28"/>
        </w:rPr>
        <w:t xml:space="preserve">услуги, указанный в </w:t>
      </w:r>
      <w:hyperlink w:anchor="Par149">
        <w:r>
          <w:rPr>
            <w:rStyle w:val="Style8"/>
            <w:rFonts w:ascii="Times New Roman" w:hAnsi="Times New Roman"/>
            <w:color w:val="000000"/>
            <w:sz w:val="28"/>
            <w:szCs w:val="28"/>
          </w:rPr>
          <w:t>подпункте 3 пункта 2.6</w:t>
        </w:r>
      </w:hyperlink>
      <w:r>
        <w:rPr>
          <w:rFonts w:ascii="Times New Roman" w:hAnsi="Times New Roman"/>
          <w:color w:val="000000"/>
          <w:sz w:val="28"/>
          <w:szCs w:val="28"/>
        </w:rPr>
        <w:t xml:space="preserve"> настоящего раздела включает следующие взаимосвязанные сведения:</w:t>
      </w:r>
    </w:p>
    <w:p>
      <w:pPr>
        <w:pStyle w:val="ConsPlusNormal"/>
        <w:spacing w:before="160" w:after="0"/>
        <w:ind w:firstLine="540"/>
        <w:jc w:val="both"/>
        <w:rPr/>
      </w:pPr>
      <w:r>
        <w:rPr>
          <w:rFonts w:ascii="Times New Roman" w:hAnsi="Times New Roman"/>
          <w:color w:val="000000"/>
          <w:sz w:val="28"/>
          <w:szCs w:val="28"/>
        </w:rPr>
        <w:t xml:space="preserve">1)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w:t>
      </w:r>
      <w:hyperlink w:anchor="Par152">
        <w:r>
          <w:rPr>
            <w:rStyle w:val="Style8"/>
            <w:rFonts w:ascii="Times New Roman" w:hAnsi="Times New Roman"/>
            <w:color w:val="000000"/>
            <w:sz w:val="28"/>
            <w:szCs w:val="28"/>
          </w:rPr>
          <w:t>подпунктом 2.6.1</w:t>
        </w:r>
      </w:hyperlink>
      <w:r>
        <w:rPr>
          <w:rFonts w:ascii="Times New Roman" w:hAnsi="Times New Roman"/>
          <w:color w:val="000000"/>
          <w:sz w:val="28"/>
          <w:szCs w:val="28"/>
        </w:rPr>
        <w:t xml:space="preserve"> настоящего пункта, а также способы подачи таких документов и (или) информации;</w:t>
      </w:r>
    </w:p>
    <w:p>
      <w:pPr>
        <w:pStyle w:val="ConsPlusNormal"/>
        <w:spacing w:before="160" w:after="0"/>
        <w:ind w:firstLine="540"/>
        <w:jc w:val="both"/>
        <w:rPr>
          <w:rFonts w:ascii="Times New Roman" w:hAnsi="Times New Roman"/>
          <w:color w:val="000000"/>
          <w:sz w:val="28"/>
          <w:szCs w:val="28"/>
        </w:rPr>
      </w:pPr>
      <w:r>
        <w:rPr>
          <w:rFonts w:ascii="Times New Roman" w:hAnsi="Times New Roman"/>
          <w:color w:val="000000"/>
          <w:sz w:val="28"/>
          <w:szCs w:val="28"/>
        </w:rPr>
        <w:t>2)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pPr>
        <w:pStyle w:val="ConsPlusNormal"/>
        <w:spacing w:before="160" w:after="0"/>
        <w:ind w:firstLine="540"/>
        <w:jc w:val="both"/>
        <w:rPr/>
      </w:pPr>
      <w:r>
        <w:rPr>
          <w:rFonts w:ascii="Times New Roman" w:hAnsi="Times New Roman"/>
          <w:color w:val="000000"/>
          <w:sz w:val="28"/>
          <w:szCs w:val="28"/>
        </w:rPr>
        <w:t xml:space="preserve">2.6.3. Исчерпывающий 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w:anchor="Par150">
        <w:r>
          <w:rPr>
            <w:rStyle w:val="Style8"/>
            <w:rFonts w:ascii="Times New Roman" w:hAnsi="Times New Roman"/>
            <w:color w:val="000000"/>
            <w:sz w:val="28"/>
            <w:szCs w:val="28"/>
          </w:rPr>
          <w:t>подпункте 4 пункта 2.6</w:t>
        </w:r>
      </w:hyperlink>
      <w:r>
        <w:rPr>
          <w:rFonts w:ascii="Times New Roman" w:hAnsi="Times New Roman"/>
          <w:color w:val="000000"/>
          <w:sz w:val="28"/>
          <w:szCs w:val="28"/>
        </w:rPr>
        <w:t xml:space="preserve"> настоящего раздела, включает следующие исчерпывающие перечни оснований с учётом идентификаторов категорий (признаков) заявителей, указанных в </w:t>
      </w:r>
      <w:hyperlink w:anchor="Par152">
        <w:r>
          <w:rPr>
            <w:rStyle w:val="Style8"/>
            <w:rFonts w:ascii="Times New Roman" w:hAnsi="Times New Roman"/>
            <w:color w:val="000000"/>
            <w:sz w:val="28"/>
            <w:szCs w:val="28"/>
          </w:rPr>
          <w:t>подпункте 2.6.1</w:t>
        </w:r>
      </w:hyperlink>
      <w:r>
        <w:rPr>
          <w:rFonts w:ascii="Times New Roman" w:hAnsi="Times New Roman"/>
          <w:color w:val="000000"/>
          <w:sz w:val="28"/>
          <w:szCs w:val="28"/>
        </w:rPr>
        <w:t xml:space="preserve"> настоящего пункта:</w:t>
      </w:r>
    </w:p>
    <w:p>
      <w:pPr>
        <w:pStyle w:val="ConsPlusNormal"/>
        <w:spacing w:before="160" w:after="0"/>
        <w:ind w:firstLine="540"/>
        <w:jc w:val="both"/>
        <w:rPr>
          <w:rFonts w:ascii="Times New Roman" w:hAnsi="Times New Roman"/>
          <w:sz w:val="28"/>
          <w:szCs w:val="28"/>
        </w:rPr>
      </w:pPr>
      <w:r>
        <w:rPr>
          <w:rFonts w:ascii="Times New Roman" w:hAnsi="Times New Roman"/>
          <w:color w:val="000000"/>
          <w:sz w:val="28"/>
          <w:szCs w:val="28"/>
        </w:rPr>
        <w:t>1) перечень оснований для отказа в п</w:t>
      </w:r>
      <w:r>
        <w:rPr>
          <w:rFonts w:ascii="Times New Roman" w:hAnsi="Times New Roman"/>
          <w:sz w:val="28"/>
          <w:szCs w:val="28"/>
        </w:rPr>
        <w:t>риёме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 перечень оснований для приостановления предоставления муниципальной услуги, а в случае отсутствия таких оснований - указание на их отсутствие;</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3) перечень оснований для отказа в предоставлении муниципальной услуги, а в случае отсутствия таких оснований - указание на их отсутствие.</w:t>
      </w:r>
    </w:p>
    <w:p>
      <w:pPr>
        <w:pStyle w:val="ConsPlusNormal"/>
        <w:jc w:val="both"/>
        <w:rPr>
          <w:rFonts w:ascii="Times New Roman" w:hAnsi="Times New Roman"/>
          <w:sz w:val="28"/>
          <w:szCs w:val="28"/>
        </w:rPr>
      </w:pPr>
      <w:r>
        <w:rPr>
          <w:rFonts w:ascii="Times New Roman" w:hAnsi="Times New Roman"/>
          <w:sz w:val="28"/>
          <w:szCs w:val="28"/>
        </w:rPr>
      </w:r>
    </w:p>
    <w:p>
      <w:pPr>
        <w:pStyle w:val="ConsPlusNormal"/>
        <w:numPr>
          <w:ilvl w:val="0"/>
          <w:numId w:val="0"/>
        </w:numPr>
        <w:ind w:hanging="0" w:left="0"/>
        <w:jc w:val="center"/>
        <w:outlineLvl w:val="1"/>
        <w:rPr>
          <w:rFonts w:ascii="Times New Roman" w:hAnsi="Times New Roman"/>
          <w:sz w:val="28"/>
          <w:szCs w:val="28"/>
        </w:rPr>
      </w:pPr>
      <w:r>
        <w:rPr>
          <w:rFonts w:ascii="Times New Roman" w:hAnsi="Times New Roman"/>
          <w:b/>
          <w:sz w:val="28"/>
          <w:szCs w:val="28"/>
        </w:rPr>
        <w:t>3. Правила внесения изменений в административные регламенты</w:t>
      </w:r>
    </w:p>
    <w:p>
      <w:pPr>
        <w:pStyle w:val="ConsPlusNormal"/>
        <w:jc w:val="center"/>
        <w:rPr>
          <w:rFonts w:ascii="Times New Roman" w:hAnsi="Times New Roman"/>
          <w:sz w:val="28"/>
          <w:szCs w:val="28"/>
        </w:rPr>
      </w:pPr>
      <w:r>
        <w:rPr>
          <w:rFonts w:ascii="Times New Roman" w:hAnsi="Times New Roman"/>
          <w:b/>
          <w:sz w:val="28"/>
          <w:szCs w:val="28"/>
        </w:rPr>
        <w:t>предоставления муниципальных услуг</w:t>
      </w:r>
    </w:p>
    <w:p>
      <w:pPr>
        <w:pStyle w:val="ConsPlusNormal"/>
        <w:jc w:val="both"/>
        <w:rPr>
          <w:rFonts w:ascii="Times New Roman" w:hAnsi="Times New Roman"/>
          <w:sz w:val="28"/>
          <w:szCs w:val="28"/>
        </w:rPr>
      </w:pPr>
      <w:r>
        <w:rPr>
          <w:rFonts w:ascii="Times New Roman" w:hAnsi="Times New Roman"/>
          <w:sz w:val="28"/>
          <w:szCs w:val="28"/>
        </w:rPr>
      </w:r>
    </w:p>
    <w:p>
      <w:pPr>
        <w:pStyle w:val="ConsPlusNormal"/>
        <w:ind w:firstLine="540"/>
        <w:jc w:val="both"/>
        <w:rPr>
          <w:rFonts w:ascii="Times New Roman" w:hAnsi="Times New Roman"/>
          <w:sz w:val="28"/>
          <w:szCs w:val="28"/>
        </w:rPr>
      </w:pPr>
      <w:r>
        <w:rPr>
          <w:rFonts w:ascii="Times New Roman" w:hAnsi="Times New Roman"/>
          <w:sz w:val="28"/>
          <w:szCs w:val="28"/>
        </w:rPr>
        <w:t>3.1. Изменения в административные регламенты вносятся в случае:</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1) изменения законодательства Российской Федерации, законодательства Ульяновской области, муниципальных нормативных правовых актов Администрации, регулирующих предоставление муниципальной услуги;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2) изменения структуры Администрации;</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3) представления органами местного самоуправления, основанных на результатах анализа практики применения административных регламентов предложений о необходимости внесения в них изменений;</w:t>
      </w:r>
    </w:p>
    <w:p>
      <w:pPr>
        <w:pStyle w:val="ConsPlusNormal"/>
        <w:spacing w:before="160" w:after="0"/>
        <w:ind w:firstLine="540"/>
        <w:jc w:val="both"/>
        <w:rPr>
          <w:rFonts w:ascii="Times New Roman" w:hAnsi="Times New Roman"/>
          <w:sz w:val="28"/>
          <w:szCs w:val="28"/>
        </w:rPr>
      </w:pPr>
      <w:r>
        <w:rPr>
          <w:rFonts w:ascii="Times New Roman" w:hAnsi="Times New Roman"/>
          <w:sz w:val="28"/>
          <w:szCs w:val="28"/>
        </w:rPr>
        <w:t>4) устранения допущенных технических ошибок, опечаток.</w:t>
      </w:r>
    </w:p>
    <w:p>
      <w:pPr>
        <w:sectPr>
          <w:headerReference w:type="even" r:id="rId15"/>
          <w:headerReference w:type="default" r:id="rId16"/>
          <w:headerReference w:type="first" r:id="rId17"/>
          <w:footerReference w:type="even" r:id="rId18"/>
          <w:footerReference w:type="default" r:id="rId19"/>
          <w:footerReference w:type="first" r:id="rId20"/>
          <w:type w:val="nextPage"/>
          <w:pgSz w:w="11906" w:h="16838"/>
          <w:pgMar w:left="1701" w:right="851" w:gutter="0" w:header="225" w:top="1020" w:footer="709" w:bottom="1134"/>
          <w:pgNumType w:start="1" w:fmt="decimal"/>
          <w:formProt w:val="false"/>
          <w:titlePg/>
          <w:textDirection w:val="lrTb"/>
          <w:docGrid w:type="default" w:linePitch="381" w:charSpace="0"/>
        </w:sectPr>
        <w:pStyle w:val="ConsPlusNormal"/>
        <w:spacing w:before="160" w:after="0"/>
        <w:ind w:firstLine="540"/>
        <w:jc w:val="both"/>
        <w:rPr>
          <w:rFonts w:ascii="Times New Roman" w:hAnsi="Times New Roman"/>
          <w:sz w:val="28"/>
          <w:szCs w:val="28"/>
        </w:rPr>
      </w:pPr>
      <w:r>
        <w:rPr>
          <w:rFonts w:ascii="Times New Roman" w:hAnsi="Times New Roman"/>
          <w:sz w:val="28"/>
          <w:szCs w:val="28"/>
        </w:rPr>
        <w:t>3.2. Внесение изменений в административные регламенты осуществляется в соответствии с настоящими Правилами, кроме случаев внесения изменений в утверждённые административные регламенты, касающихся устранения допущенных технических ошибок, опечаток. Изменения в административные регламенты в указанных случаях утверждаются без проведения уполномоченным лицом экспертизы.</w:t>
      </w:r>
    </w:p>
    <w:p>
      <w:pPr>
        <w:pStyle w:val="Normal"/>
        <w:numPr>
          <w:ilvl w:val="0"/>
          <w:numId w:val="0"/>
        </w:numPr>
        <w:ind w:hanging="0" w:left="0"/>
        <w:jc w:val="right"/>
        <w:outlineLvl w:val="0"/>
        <w:rPr>
          <w:szCs w:val="28"/>
        </w:rPr>
      </w:pPr>
      <w:r>
        <w:rPr>
          <w:szCs w:val="28"/>
        </w:rPr>
        <w:t>Приложение 2</w:t>
      </w:r>
    </w:p>
    <w:p>
      <w:pPr>
        <w:pStyle w:val="Normal"/>
        <w:jc w:val="right"/>
        <w:rPr>
          <w:szCs w:val="28"/>
        </w:rPr>
      </w:pPr>
      <w:r>
        <w:rPr>
          <w:szCs w:val="28"/>
        </w:rPr>
        <w:t>к постановлению</w:t>
      </w:r>
    </w:p>
    <w:p>
      <w:pPr>
        <w:pStyle w:val="Normal"/>
        <w:jc w:val="right"/>
        <w:rPr>
          <w:szCs w:val="28"/>
        </w:rPr>
      </w:pPr>
      <w:r>
        <w:rPr>
          <w:szCs w:val="28"/>
        </w:rPr>
        <w:t>Администрации муниципального</w:t>
      </w:r>
    </w:p>
    <w:p>
      <w:pPr>
        <w:pStyle w:val="Normal"/>
        <w:jc w:val="right"/>
        <w:rPr>
          <w:szCs w:val="28"/>
        </w:rPr>
      </w:pPr>
      <w:r>
        <w:rPr>
          <w:szCs w:val="28"/>
        </w:rPr>
        <w:t xml:space="preserve"> </w:t>
      </w:r>
      <w:r>
        <w:rPr>
          <w:szCs w:val="28"/>
        </w:rPr>
        <w:t xml:space="preserve">образования «Город Новоульяновск» </w:t>
      </w:r>
    </w:p>
    <w:p>
      <w:pPr>
        <w:pStyle w:val="Normal"/>
        <w:jc w:val="right"/>
        <w:rPr>
          <w:szCs w:val="28"/>
        </w:rPr>
      </w:pPr>
      <w:r>
        <w:rPr>
          <w:szCs w:val="28"/>
        </w:rPr>
        <w:t>Ульяновской области</w:t>
      </w:r>
    </w:p>
    <w:p>
      <w:pPr>
        <w:pStyle w:val="Normal"/>
        <w:jc w:val="right"/>
        <w:rPr>
          <w:szCs w:val="28"/>
        </w:rPr>
      </w:pPr>
      <w:r>
        <w:rPr>
          <w:szCs w:val="28"/>
        </w:rPr>
        <w:t>от  20 апреля 2026 года №  265-П</w:t>
      </w:r>
    </w:p>
    <w:p>
      <w:pPr>
        <w:pStyle w:val="Normal"/>
        <w:rPr>
          <w:szCs w:val="28"/>
        </w:rPr>
      </w:pPr>
      <w:r>
        <w:rPr>
          <w:szCs w:val="28"/>
        </w:rPr>
      </w:r>
    </w:p>
    <w:p>
      <w:pPr>
        <w:pStyle w:val="pc"/>
        <w:tabs>
          <w:tab w:val="clear" w:pos="708"/>
          <w:tab w:val="left" w:pos="851" w:leader="none"/>
        </w:tabs>
        <w:spacing w:beforeAutospacing="0" w:before="0" w:afterAutospacing="0" w:after="0"/>
        <w:jc w:val="center"/>
        <w:textAlignment w:val="baseline"/>
        <w:rPr>
          <w:sz w:val="28"/>
          <w:szCs w:val="28"/>
        </w:rPr>
      </w:pPr>
      <w:r>
        <w:rPr>
          <w:sz w:val="28"/>
          <w:szCs w:val="28"/>
        </w:rPr>
      </w:r>
    </w:p>
    <w:p>
      <w:pPr>
        <w:pStyle w:val="pc"/>
        <w:tabs>
          <w:tab w:val="clear" w:pos="708"/>
          <w:tab w:val="left" w:pos="851" w:leader="none"/>
        </w:tabs>
        <w:spacing w:beforeAutospacing="0" w:before="0" w:afterAutospacing="0" w:after="0"/>
        <w:jc w:val="center"/>
        <w:textAlignment w:val="baseline"/>
        <w:rPr>
          <w:sz w:val="28"/>
          <w:szCs w:val="28"/>
        </w:rPr>
      </w:pPr>
      <w:r>
        <w:rPr>
          <w:b/>
          <w:bCs/>
          <w:spacing w:val="-6"/>
          <w:sz w:val="28"/>
          <w:szCs w:val="28"/>
        </w:rPr>
        <w:t>Правила</w:t>
      </w:r>
    </w:p>
    <w:p>
      <w:pPr>
        <w:pStyle w:val="pc"/>
        <w:tabs>
          <w:tab w:val="clear" w:pos="708"/>
          <w:tab w:val="left" w:pos="851" w:leader="none"/>
        </w:tabs>
        <w:spacing w:beforeAutospacing="0" w:before="0" w:afterAutospacing="0" w:after="0"/>
        <w:jc w:val="center"/>
        <w:textAlignment w:val="baseline"/>
        <w:rPr>
          <w:sz w:val="28"/>
          <w:szCs w:val="28"/>
        </w:rPr>
      </w:pPr>
      <w:r>
        <w:rPr>
          <w:b/>
          <w:bCs/>
          <w:spacing w:val="-6"/>
          <w:sz w:val="28"/>
          <w:szCs w:val="28"/>
        </w:rPr>
        <w:t>проведения экспертизы проектов административных регламентов предоставления муниципальных услуг</w:t>
      </w:r>
    </w:p>
    <w:p>
      <w:pPr>
        <w:pStyle w:val="Normal"/>
        <w:rPr>
          <w:szCs w:val="28"/>
        </w:rPr>
      </w:pPr>
      <w:r>
        <w:rPr>
          <w:szCs w:val="28"/>
        </w:rPr>
      </w:r>
    </w:p>
    <w:p>
      <w:pPr>
        <w:pStyle w:val="Normal"/>
        <w:ind w:firstLine="540"/>
        <w:rPr/>
      </w:pPr>
      <w:r>
        <w:rPr>
          <w:szCs w:val="28"/>
        </w:rPr>
        <w:t>1. Проект административного регламента предоставления муниципальной услуги (далее - проект административного регламента), проект муниципального нормативного правового акта о внесении изменений в административный регламент предоставления муниципальной услуги (далее - проект изменений в административный регламент), а также проект муниципального нормативного правового акта о признании утратившим силу административного регламента предоставления муниципальной услуги (далее - проект о признании утратившим силу административного регламента), разработанные структурным подразделением, отраслевым (функциональным) органом Администрации</w:t>
      </w:r>
      <w:r>
        <w:rPr/>
        <w:t xml:space="preserve"> </w:t>
      </w:r>
      <w:r>
        <w:rPr>
          <w:szCs w:val="28"/>
        </w:rPr>
        <w:t>муниципального образования «Город Новоульяновск» Ульяновской области, к сфере деятельности которого относится предоставление соответствующей муниципальной услуги (далее – Администрация, структурное подразделение соответственно), подлежат экспертизе, проводимой уполномоченным муниципальным служащим отдела правового обеспечения Администрации (далее - уполномоченное лицо).</w:t>
      </w:r>
    </w:p>
    <w:p>
      <w:pPr>
        <w:pStyle w:val="Normal"/>
        <w:spacing w:before="200" w:after="0"/>
        <w:ind w:firstLine="540"/>
        <w:rPr>
          <w:szCs w:val="28"/>
        </w:rPr>
      </w:pPr>
      <w:r>
        <w:rPr>
          <w:szCs w:val="28"/>
        </w:rPr>
        <w:t>2. Предметом экспертизы являются:</w:t>
      </w:r>
    </w:p>
    <w:p>
      <w:pPr>
        <w:pStyle w:val="Normal"/>
        <w:spacing w:before="200" w:after="0"/>
        <w:ind w:firstLine="540"/>
        <w:rPr>
          <w:szCs w:val="28"/>
        </w:rPr>
      </w:pPr>
      <w:r>
        <w:rPr>
          <w:szCs w:val="28"/>
        </w:rPr>
        <w:t xml:space="preserve">а) соответствие проектов административных регламентов требованиям, установленным </w:t>
      </w:r>
      <w:hyperlink r:id="rId21">
        <w:r>
          <w:rPr>
            <w:rStyle w:val="Style8"/>
            <w:color w:val="000000"/>
            <w:szCs w:val="28"/>
          </w:rPr>
          <w:t>пунктами 1.</w:t>
        </w:r>
      </w:hyperlink>
      <w:r>
        <w:rPr>
          <w:color w:val="000000"/>
          <w:szCs w:val="28"/>
        </w:rPr>
        <w:t xml:space="preserve">2 и </w:t>
      </w:r>
      <w:hyperlink r:id="rId22">
        <w:r>
          <w:rPr>
            <w:rStyle w:val="Style8"/>
            <w:color w:val="000000"/>
            <w:szCs w:val="28"/>
          </w:rPr>
          <w:t>1.3 раздела 1</w:t>
        </w:r>
      </w:hyperlink>
      <w:r>
        <w:rPr>
          <w:color w:val="000000"/>
          <w:szCs w:val="28"/>
        </w:rPr>
        <w:t xml:space="preserve"> Правил</w:t>
      </w:r>
      <w:r>
        <w:rPr>
          <w:szCs w:val="28"/>
        </w:rPr>
        <w:t xml:space="preserve"> разработки и утверждения административных регламентов предоставления муниципальных услуг, утверждённым постановлением Администрации муниципального образования «Город Новоульяновск» Ульяновской области </w:t>
      </w:r>
      <w:r>
        <w:rPr>
          <w:szCs w:val="28"/>
          <w:shd w:fill="auto" w:val="clear"/>
        </w:rPr>
        <w:t>от  20  апреля 2026 г. № 265-П</w:t>
      </w:r>
      <w:r>
        <w:rPr>
          <w:szCs w:val="28"/>
        </w:rPr>
        <w:t xml:space="preserve"> «Об утверждении Правил разработки и утверждения административных регламентов предоставления муниципальных услуг»;</w:t>
      </w:r>
    </w:p>
    <w:p>
      <w:pPr>
        <w:pStyle w:val="Normal"/>
        <w:spacing w:before="200" w:after="0"/>
        <w:ind w:firstLine="540"/>
        <w:rPr/>
      </w:pPr>
      <w:r>
        <w:rPr/>
      </w:r>
    </w:p>
    <w:p>
      <w:pPr>
        <w:pStyle w:val="Normal"/>
        <w:ind w:firstLine="567"/>
        <w:rPr>
          <w:szCs w:val="28"/>
        </w:rPr>
      </w:pPr>
      <w:r>
        <w:rPr>
          <w:szCs w:val="28"/>
        </w:rPr>
        <w:t>б) отсутствие в проекте административного регламента требований об обязательном представлении заявителями документов и (или) информации, которые могут быть получены в рамках межведомственного запроса.</w:t>
      </w:r>
    </w:p>
    <w:p>
      <w:pPr>
        <w:pStyle w:val="Normal"/>
        <w:rPr>
          <w:rFonts w:ascii="Arial" w:hAnsi="Arial"/>
          <w:sz w:val="20"/>
        </w:rPr>
      </w:pPr>
      <w:r>
        <w:rPr>
          <w:rFonts w:ascii="Arial" w:hAnsi="Arial"/>
          <w:sz w:val="20"/>
        </w:rPr>
      </w:r>
    </w:p>
    <w:p>
      <w:pPr>
        <w:pStyle w:val="Normal"/>
        <w:ind w:firstLine="540"/>
        <w:rPr>
          <w:color w:val="000000"/>
          <w:szCs w:val="28"/>
        </w:rPr>
      </w:pPr>
      <w:r>
        <w:rPr>
          <w:color w:val="000000"/>
          <w:szCs w:val="28"/>
        </w:rPr>
        <w:t>3. Структурное подразделение представляет на экспертизу:</w:t>
      </w:r>
      <w:bookmarkStart w:id="15" w:name="Par0"/>
    </w:p>
    <w:p>
      <w:pPr>
        <w:pStyle w:val="Normal"/>
        <w:spacing w:before="200" w:after="0"/>
        <w:ind w:firstLine="540"/>
        <w:rPr/>
      </w:pPr>
      <w:r>
        <w:rPr>
          <w:color w:val="000000"/>
          <w:szCs w:val="28"/>
        </w:rPr>
        <w:t xml:space="preserve">1) вместе с проектом административного регламента - проект муниципального нормативного правового акта об утверждении административного регламента предоставления муниципальной услуги, пояснительную записку, содержание которой должно соответствовать требованиям, установленным </w:t>
      </w:r>
      <w:hyperlink r:id="rId23">
        <w:r>
          <w:rPr>
            <w:rStyle w:val="Style8"/>
            <w:color w:val="000000"/>
            <w:szCs w:val="28"/>
          </w:rPr>
          <w:t>абзацем пятым пункта 1.6 раздела 1</w:t>
        </w:r>
      </w:hyperlink>
      <w:r>
        <w:rPr>
          <w:color w:val="000000"/>
          <w:szCs w:val="28"/>
        </w:rPr>
        <w:t xml:space="preserve"> Правил разработки административных регламентов, а также копию заключения об оценке регулирующего воздействия проекта административного регламента, </w:t>
      </w:r>
      <w:commentRangeStart w:id="0"/>
      <w:r>
        <w:rPr>
          <w:color w:val="000000"/>
          <w:szCs w:val="28"/>
        </w:rPr>
        <w:t>подготовленного</w:t>
      </w:r>
      <w:r>
        <w:rPr>
          <w:color w:val="000000"/>
          <w:szCs w:val="28"/>
        </w:rPr>
      </w:r>
      <w:commentRangeEnd w:id="0"/>
      <w:r>
        <w:commentReference w:id="0"/>
      </w:r>
      <w:r>
        <w:rPr>
          <w:color w:val="000000"/>
          <w:szCs w:val="28"/>
        </w:rPr>
        <w:t xml:space="preserve"> должностным лицом </w:t>
      </w:r>
      <w:r>
        <w:rPr>
          <w:color w:val="000000"/>
          <w:sz w:val="28"/>
          <w:szCs w:val="28"/>
        </w:rPr>
        <w:t xml:space="preserve"> отдела экономического мониторинга, прогнозирования, планирования, размещения муниципального заказа и развития предпринимательства</w:t>
      </w:r>
      <w:r>
        <w:rPr>
          <w:color w:val="000000"/>
          <w:szCs w:val="28"/>
        </w:rPr>
        <w:t xml:space="preserve"> (в случае, если такая оценка проводилась);</w:t>
      </w:r>
      <w:bookmarkStart w:id="16" w:name="Par1"/>
    </w:p>
    <w:p>
      <w:pPr>
        <w:pStyle w:val="Normal"/>
        <w:spacing w:before="200" w:after="0"/>
        <w:ind w:firstLine="540"/>
        <w:rPr>
          <w:color w:val="000000"/>
          <w:szCs w:val="28"/>
        </w:rPr>
      </w:pPr>
      <w:r>
        <w:rPr>
          <w:color w:val="000000"/>
          <w:szCs w:val="28"/>
        </w:rPr>
        <w:t>2) вместе с проектом изменений в административный регламент - пояснительную записку, в которой должны содержаться в том числе сведения об обстоятельствах, послуживших основанием для внесения в административный регламент предоставления муниципальной услуги изменений;</w:t>
      </w:r>
      <w:bookmarkStart w:id="17" w:name="Par3"/>
    </w:p>
    <w:p>
      <w:pPr>
        <w:pStyle w:val="Normal"/>
        <w:spacing w:before="200" w:after="0"/>
        <w:ind w:firstLine="540"/>
        <w:rPr>
          <w:color w:val="000000"/>
        </w:rPr>
      </w:pPr>
      <w:r>
        <w:rPr>
          <w:color w:val="000000"/>
          <w:szCs w:val="28"/>
        </w:rPr>
        <w:t>3) вместе с проектом о признании административного регламента утратившим силу - пояснительную записку, в которой должны содержаться в том числе сведения об обстоятельствах, послуживших основанием для признания административного регламента предоставления муниципальной услуги утратившим силу.</w:t>
      </w:r>
      <w:bookmarkStart w:id="18" w:name="Par4"/>
    </w:p>
    <w:p>
      <w:pPr>
        <w:pStyle w:val="Normal"/>
        <w:spacing w:before="200" w:after="0"/>
        <w:ind w:firstLine="540"/>
        <w:rPr>
          <w:color w:val="000000"/>
        </w:rPr>
      </w:pPr>
      <w:r>
        <w:rPr>
          <w:color w:val="000000"/>
          <w:szCs w:val="28"/>
        </w:rPr>
        <w:t>4. В случае если в процессе разработки проекта административного регламента или проекта изменений в административный регламент установлена возможность оптимизации (повышения качества) предоставления муниципальной услуги при условии внесения соответствующих изменений в другие муниципальные нормативные правовые акты, определяющие порядок предоставления данной муниципальной услуги, проект административного регламента либо проект изменений в административный регламент направляется на экспертизу уполномоченному лицу вместе с проектами муниципальных нормативных правовых актов, предусматривающими внесение изменений в эти другие муниципальные нормативные правовые акты.</w:t>
      </w:r>
    </w:p>
    <w:p>
      <w:pPr>
        <w:pStyle w:val="Normal"/>
        <w:spacing w:before="200" w:after="0"/>
        <w:ind w:firstLine="540"/>
        <w:rPr>
          <w:color w:val="000000"/>
          <w:szCs w:val="28"/>
        </w:rPr>
      </w:pPr>
      <w:r>
        <w:rPr>
          <w:color w:val="000000"/>
          <w:szCs w:val="28"/>
        </w:rPr>
        <w:t xml:space="preserve">5. Уполномоченное лицо представляет в структурное подразделение </w:t>
        <w:br/>
        <w:t>заключение:</w:t>
      </w:r>
      <w:bookmarkStart w:id="19" w:name="Par8"/>
    </w:p>
    <w:p>
      <w:pPr>
        <w:pStyle w:val="Normal"/>
        <w:spacing w:before="200" w:after="0"/>
        <w:ind w:firstLine="540"/>
        <w:rPr/>
      </w:pPr>
      <w:r>
        <w:rPr>
          <w:color w:val="000000"/>
          <w:szCs w:val="28"/>
        </w:rPr>
        <w:t xml:space="preserve">1) на проект административного регламента, проект изменений в административный регламент - не позднее 30 рабочих дней со дня получения этих проектов, а также документов, указанных в </w:t>
      </w:r>
      <w:hyperlink w:anchor="Par1">
        <w:r>
          <w:rPr>
            <w:rStyle w:val="Style8"/>
            <w:color w:val="000000"/>
            <w:szCs w:val="28"/>
          </w:rPr>
          <w:t>подпунктах 1</w:t>
        </w:r>
      </w:hyperlink>
      <w:r>
        <w:rPr>
          <w:color w:val="000000"/>
          <w:szCs w:val="28"/>
        </w:rPr>
        <w:t xml:space="preserve"> и </w:t>
      </w:r>
      <w:hyperlink w:anchor="Par3">
        <w:r>
          <w:rPr>
            <w:rStyle w:val="Style8"/>
            <w:color w:val="000000"/>
            <w:szCs w:val="28"/>
          </w:rPr>
          <w:t>2 пункта 3</w:t>
        </w:r>
      </w:hyperlink>
      <w:r>
        <w:rPr>
          <w:color w:val="000000"/>
          <w:szCs w:val="28"/>
        </w:rPr>
        <w:t xml:space="preserve"> настоящих Правил;</w:t>
      </w:r>
    </w:p>
    <w:p>
      <w:pPr>
        <w:pStyle w:val="Normal"/>
        <w:spacing w:before="200" w:after="0"/>
        <w:ind w:firstLine="540"/>
        <w:rPr/>
      </w:pPr>
      <w:r>
        <w:rPr>
          <w:color w:val="000000"/>
          <w:szCs w:val="28"/>
        </w:rPr>
        <w:t xml:space="preserve">2) на проект о признании административного регламента утратившим силу - не позднее 5 рабочих дней со дня получения этого проекта, а также документов, указанных в </w:t>
      </w:r>
      <w:hyperlink w:anchor="Par4">
        <w:r>
          <w:rPr>
            <w:rStyle w:val="Style8"/>
            <w:color w:val="000000"/>
            <w:szCs w:val="28"/>
          </w:rPr>
          <w:t>подпункте 3 пункта 3</w:t>
        </w:r>
      </w:hyperlink>
      <w:r>
        <w:rPr>
          <w:color w:val="000000"/>
          <w:szCs w:val="28"/>
        </w:rPr>
        <w:t xml:space="preserve"> настоящих Правил.</w:t>
      </w:r>
    </w:p>
    <w:p>
      <w:pPr>
        <w:pStyle w:val="Normal"/>
        <w:spacing w:before="200" w:after="0"/>
        <w:ind w:firstLine="540"/>
        <w:rPr/>
      </w:pPr>
      <w:r>
        <w:rPr>
          <w:color w:val="000000"/>
          <w:szCs w:val="28"/>
        </w:rPr>
        <w:t xml:space="preserve">6. Заключения, указанные в </w:t>
      </w:r>
      <w:hyperlink w:anchor="Par8">
        <w:r>
          <w:rPr>
            <w:rStyle w:val="Style8"/>
            <w:color w:val="000000"/>
            <w:szCs w:val="28"/>
          </w:rPr>
          <w:t>пункте 5</w:t>
        </w:r>
      </w:hyperlink>
      <w:r>
        <w:rPr>
          <w:color w:val="000000"/>
          <w:szCs w:val="28"/>
        </w:rPr>
        <w:t xml:space="preserve"> настоящих Правил, должны быть подписаны начальником отдела правового обеспечения Администрации или лицом, исполняющим его обязанности.</w:t>
      </w:r>
    </w:p>
    <w:p>
      <w:pPr>
        <w:pStyle w:val="Normal"/>
        <w:spacing w:before="200" w:after="0"/>
        <w:ind w:firstLine="540"/>
        <w:rPr>
          <w:color w:val="000000"/>
        </w:rPr>
      </w:pPr>
      <w:r>
        <w:rPr>
          <w:color w:val="000000"/>
          <w:szCs w:val="28"/>
        </w:rPr>
        <w:t xml:space="preserve">7. Проект административного регламента, проект изменений </w:t>
        <w:br/>
        <w:t>в административный регламент, проект о признании административного регламента утратившим силу возвращаются уполномоченным лицом без проведения экспертизы в структурное подразделение, их представившему, в случае, если нарушены требования к их представлению, установленные настоящими Правилами.</w:t>
      </w:r>
      <w:bookmarkStart w:id="20" w:name="Par16_Копия_1"/>
    </w:p>
    <w:p>
      <w:pPr>
        <w:pStyle w:val="Normal"/>
        <w:spacing w:before="200" w:after="0"/>
        <w:ind w:firstLine="540"/>
        <w:rPr/>
      </w:pPr>
      <w:r>
        <w:rPr>
          <w:color w:val="000000"/>
          <w:szCs w:val="28"/>
        </w:rPr>
        <w:t xml:space="preserve">В случае возвращения указанных проектов по основанию, установленному </w:t>
      </w:r>
      <w:hyperlink w:anchor="Par16">
        <w:r>
          <w:rPr>
            <w:rStyle w:val="Style8"/>
            <w:color w:val="000000"/>
            <w:szCs w:val="28"/>
          </w:rPr>
          <w:t>абзацем первым</w:t>
        </w:r>
      </w:hyperlink>
      <w:r>
        <w:rPr>
          <w:color w:val="000000"/>
          <w:szCs w:val="28"/>
        </w:rPr>
        <w:t xml:space="preserve"> настоящего пункта, соответствующие нарушения должны быть устранены и проекты повторно представлены на экспертизу в соответствии с настоящими Правилами.</w:t>
      </w:r>
    </w:p>
    <w:p>
      <w:pPr>
        <w:pStyle w:val="Normal"/>
        <w:spacing w:before="200" w:after="0"/>
        <w:ind w:firstLine="540"/>
        <w:rPr/>
      </w:pPr>
      <w:r>
        <w:rPr>
          <w:color w:val="000000"/>
          <w:szCs w:val="28"/>
        </w:rPr>
        <w:t xml:space="preserve">8. В случае если в заключении уполномоченного лица на проект административного регламента, проект изменений в административный регламент, проект о признании административного регламента утратившим силу содержатся предложения и замечания, структурное подразделение, ответственное за утверждение соответствующего проекта, обеспечивает учёт этих предложений и замечаний и в течение 5 рабочих дней со дня получения данного заключения представляет доработанный проект вместе с документами, указанными в </w:t>
      </w:r>
      <w:hyperlink w:anchor="Par0">
        <w:r>
          <w:rPr>
            <w:rStyle w:val="Style8"/>
            <w:color w:val="000000"/>
            <w:szCs w:val="28"/>
          </w:rPr>
          <w:t>пункте 3</w:t>
        </w:r>
      </w:hyperlink>
      <w:r>
        <w:rPr>
          <w:color w:val="000000"/>
          <w:szCs w:val="28"/>
        </w:rPr>
        <w:t xml:space="preserve"> настоящих Правил, уполномоченному лицу для проведения повторной экспертизы.</w:t>
      </w:r>
    </w:p>
    <w:p>
      <w:pPr>
        <w:pStyle w:val="Normal"/>
        <w:spacing w:before="200" w:after="0"/>
        <w:ind w:firstLine="540"/>
        <w:rPr>
          <w:color w:val="000000"/>
        </w:rPr>
      </w:pPr>
      <w:r>
        <w:rPr>
          <w:color w:val="000000"/>
          <w:szCs w:val="28"/>
        </w:rPr>
        <w:t>Уполномоченное лицо не позднее 15 рабочих дней со дня поступления доработанного проекта административного регламента, проекта изменений в административный регламент либо не позднее 5 рабочих дней со дня получения проекта о признании административного регламента утратившим силу проводит повторную экспертизу указанных проектов и обеспечивает анализ представленных вместе с ними документов.</w:t>
      </w:r>
    </w:p>
    <w:p>
      <w:pPr>
        <w:pStyle w:val="Normal"/>
        <w:spacing w:before="200" w:after="0"/>
        <w:ind w:firstLine="540"/>
        <w:rPr>
          <w:color w:val="000000"/>
          <w:szCs w:val="28"/>
        </w:rPr>
      </w:pPr>
      <w:r>
        <w:rPr>
          <w:color w:val="000000"/>
          <w:szCs w:val="28"/>
        </w:rPr>
        <w:t xml:space="preserve">9. </w:t>
      </w:r>
      <w:bookmarkEnd w:id="15"/>
      <w:bookmarkEnd w:id="16"/>
      <w:bookmarkEnd w:id="17"/>
      <w:bookmarkEnd w:id="18"/>
      <w:bookmarkEnd w:id="19"/>
      <w:bookmarkEnd w:id="20"/>
      <w:r>
        <w:rPr>
          <w:color w:val="000000"/>
          <w:szCs w:val="28"/>
        </w:rPr>
        <w:t xml:space="preserve">В случае несогласия структурного подразделения с предложениями и замечаниями, содержащимися в заключении уполномоченного лица, разногласия разрешаются на согласительных совещаниях. </w:t>
      </w:r>
    </w:p>
    <w:p>
      <w:pPr>
        <w:pStyle w:val="Normal"/>
        <w:spacing w:before="200" w:after="0"/>
        <w:ind w:firstLine="540"/>
        <w:rPr>
          <w:color w:val="000000"/>
          <w:szCs w:val="28"/>
        </w:rPr>
      </w:pPr>
      <w:r>
        <w:rPr>
          <w:color w:val="000000"/>
          <w:szCs w:val="28"/>
        </w:rPr>
        <w:t>Урегулированные и неурегулированные разногласия по проекту административного регламента, проекту изменений в административный регламент, проекту о признании административного регламента утратившим силу отражаются в протоколах соответствующих согласительных совещаний, которые подписываются Главой Администрации или лицом, исполняющим его обязанности, или по его указанию руководителем структурного подразделения и начальником отдела правового обеспечения Администрации или лицом, исполняющим его обязанности.</w:t>
      </w:r>
    </w:p>
    <w:p>
      <w:pPr>
        <w:pStyle w:val="Normal"/>
        <w:spacing w:before="200" w:after="0"/>
        <w:ind w:firstLine="540"/>
        <w:rPr>
          <w:color w:val="000000"/>
          <w:szCs w:val="28"/>
        </w:rPr>
      </w:pPr>
      <w:r>
        <w:rPr>
          <w:color w:val="000000"/>
          <w:szCs w:val="28"/>
        </w:rPr>
        <w:t>Повторное направление уполномоченному лицу для проведения экспертизы доработанного по результатам указанных согласительных совещаний проекта административного регламента, проекта о внесении изменений в административный регламент, проекта о признании административного регламента утратившим силу не требуется.</w:t>
      </w:r>
    </w:p>
    <w:p>
      <w:pPr>
        <w:pStyle w:val="Normal"/>
        <w:spacing w:before="200" w:after="0"/>
        <w:ind w:firstLine="540"/>
        <w:rPr>
          <w:rFonts w:ascii="Arial" w:hAnsi="Arial"/>
          <w:color w:val="000000"/>
          <w:sz w:val="20"/>
          <w:szCs w:val="28"/>
        </w:rPr>
      </w:pPr>
      <w:r>
        <w:rPr>
          <w:rFonts w:ascii="Arial" w:hAnsi="Arial"/>
          <w:color w:val="000000"/>
          <w:sz w:val="20"/>
          <w:szCs w:val="28"/>
        </w:rPr>
      </w:r>
    </w:p>
    <w:sectPr>
      <w:headerReference w:type="even" r:id="rId24"/>
      <w:headerReference w:type="default" r:id="rId25"/>
      <w:headerReference w:type="first" r:id="rId26"/>
      <w:footerReference w:type="even" r:id="rId27"/>
      <w:footerReference w:type="default" r:id="rId28"/>
      <w:footerReference w:type="first" r:id="rId29"/>
      <w:type w:val="nextPage"/>
      <w:pgSz w:w="11906" w:h="16838"/>
      <w:pgMar w:left="1701" w:right="851" w:gutter="0" w:header="585" w:top="1010" w:footer="713" w:bottom="1138"/>
      <w:pgNumType w:start="1" w:fmt="decimal"/>
      <w:formProt w:val="false"/>
      <w:titlePg/>
      <w:textDirection w:val="lrTb"/>
      <w:docGrid w:type="default" w:linePitch="381"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Полякова Наталья Владимировна" w:date="2026-03-25T17:29:00Z" w:initials="ПНВ">
    <w:p>
      <w:pPr>
        <w:overflowPunct w:val="false"/>
        <w:spacing w:lineRule="auto" w:line="240"/>
        <w:jc w:val="left"/>
        <w:rPr/>
      </w:pPr>
      <w:r>
        <w:annotationRef/>
      </w:r>
      <w:r>
        <w:rPr>
          <w:rFonts w:eastAsia="Segoe UI" w:cs="Tahoma" w:ascii="Liberation Serif" w:hAnsi="Liberation Serif"/>
          <w:sz w:val="24"/>
          <w:szCs w:val="24"/>
          <w:lang w:val="en-US" w:eastAsia="en-US" w:bidi="en-US"/>
        </w:rPr>
        <w:t>Указать, кем проводится оценка регулирующего воздействия</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01"/>
    <w:family w:val="roman"/>
    <w:pitch w:val="default"/>
  </w:font>
  <w:font w:name="Times New Roman">
    <w:charset w:val="01"/>
    <w:family w:val="roman"/>
    <w:pitch w:val="default"/>
  </w:font>
  <w:font w:name="Times New Roman CYR">
    <w:charset w:val="01"/>
    <w:family w:val="roman"/>
    <w:pitch w:val="default"/>
  </w:font>
  <w:font w:name="Segoe UI">
    <w:charset w:val="01"/>
    <w:family w:val="roman"/>
    <w:pitch w:val="default"/>
  </w:font>
  <w:font w:name="Arial">
    <w:charset w:val="01"/>
    <w:family w:val="swiss"/>
    <w:pitch w:val="default"/>
  </w:font>
  <w:font w:name="Liberation Serif">
    <w:altName w:val="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tabs>
        <w:tab w:val="clear" w:pos="4677"/>
        <w:tab w:val="clear" w:pos="9355"/>
        <w:tab w:val="center" w:pos="3968" w:leader="none"/>
        <w:tab w:val="right" w:pos="7937" w:leader="none"/>
      </w:tabs>
      <w:ind w:hanging="0" w:left="0" w:right="0"/>
      <w:jc w:val="both"/>
      <w:rPr>
        <w:sz w:val="28"/>
        <w:szCs w:val="28"/>
      </w:rPr>
    </w:pPr>
    <w:r>
      <w:rPr>
        <w:sz w:val="28"/>
        <w:szCs w:val="28"/>
      </w:rPr>
      <w:t>000265</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tabs>
        <w:tab w:val="clear" w:pos="4677"/>
        <w:tab w:val="clear" w:pos="9355"/>
        <w:tab w:val="center" w:pos="3968" w:leader="none"/>
        <w:tab w:val="right" w:pos="7937" w:leader="none"/>
      </w:tabs>
      <w:ind w:hanging="0" w:left="0" w:right="0"/>
      <w:jc w:val="center"/>
      <w:rPr/>
    </w:pPr>
    <w:r>
      <w:rPr/>
      <w:fldChar w:fldCharType="begin"/>
    </w:r>
    <w:r>
      <w:rPr/>
      <w:instrText xml:space="preserve"> PAGE </w:instrText>
    </w:r>
    <w:r>
      <w:rPr/>
      <w:fldChar w:fldCharType="separate"/>
    </w:r>
    <w:r>
      <w:rPr/>
      <w:t>2</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39899225"/>
    </w:sdtPr>
    <w:sdtContent>
      <w:p>
        <w:pPr>
          <w:pStyle w:val="Header"/>
          <w:jc w:val="center"/>
          <w:rPr>
            <w:sz w:val="26"/>
            <w:szCs w:val="26"/>
          </w:rPr>
        </w:pPr>
        <w:r>
          <w:rPr>
            <w:sz w:val="26"/>
            <w:szCs w:val="26"/>
          </w:rPr>
          <w:fldChar w:fldCharType="begin"/>
        </w:r>
        <w:r>
          <w:rPr>
            <w:sz w:val="26"/>
            <w:szCs w:val="26"/>
          </w:rPr>
          <w:instrText xml:space="preserve"> PAGE </w:instrText>
        </w:r>
        <w:r>
          <w:rPr>
            <w:sz w:val="26"/>
            <w:szCs w:val="26"/>
          </w:rPr>
          <w:fldChar w:fldCharType="separate"/>
        </w:r>
        <w:r>
          <w:rPr>
            <w:sz w:val="26"/>
            <w:szCs w:val="26"/>
          </w:rPr>
          <w:t>14</w:t>
        </w:r>
        <w:r>
          <w:rPr>
            <w:sz w:val="26"/>
            <w:szCs w:val="26"/>
          </w:rPr>
          <w:fldChar w:fldCharType="end"/>
        </w:r>
      </w:p>
      <w:p>
        <w:pPr>
          <w:pStyle w:val="Header"/>
          <w:jc w:val="center"/>
          <w:rPr/>
        </w:pPr>
        <w:r>
          <w:rPr/>
        </w:r>
      </w:p>
    </w:sdtContent>
  </w:sdt>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39899225"/>
    </w:sdtPr>
    <w:sdtContent>
      <w:p>
        <w:pPr>
          <w:pStyle w:val="Header"/>
          <w:jc w:val="center"/>
          <w:rPr/>
        </w:pPr>
        <w:r>
          <w:rPr/>
          <w:fldChar w:fldCharType="begin"/>
        </w:r>
        <w:r>
          <w:rPr/>
          <w:instrText xml:space="preserve"> PAGE </w:instrText>
        </w:r>
        <w:r>
          <w:rPr/>
          <w:fldChar w:fldCharType="separate"/>
        </w:r>
        <w:r>
          <w:rPr/>
          <w:t>4</w:t>
        </w:r>
        <w:r>
          <w:rPr/>
          <w:fldChar w:fldCharType="end"/>
        </w:r>
      </w:p>
      <w:p>
        <w:pPr>
          <w:pStyle w:val="Header"/>
          <w:jc w:val="center"/>
          <w:rPr/>
        </w:pPr>
        <w:r>
          <w:rPr/>
        </w:r>
      </w:p>
    </w:sdtContent>
  </w:sdt>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settings.xml><?xml version="1.0" encoding="utf-8"?>
<w:settings xmlns:w="http://schemas.openxmlformats.org/wordprocessingml/2006/main">
  <w:zoom w:percent="100"/>
  <w:defaultTabStop w:val="708"/>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8759a"/>
    <w:pPr>
      <w:widowControl/>
      <w:suppressAutoHyphens w:val="true"/>
      <w:bidi w:val="0"/>
      <w:spacing w:lineRule="atLeast" w:line="360" w:before="0" w:after="0"/>
      <w:jc w:val="both"/>
    </w:pPr>
    <w:rPr>
      <w:rFonts w:ascii="Times New Roman" w:hAnsi="Times New Roman" w:eastAsia="Times New Roman" w:cs="Times New Roman"/>
      <w:color w:val="auto"/>
      <w:kern w:val="0"/>
      <w:sz w:val="28"/>
      <w:szCs w:val="20"/>
      <w:lang w:val="ru-RU" w:eastAsia="ru-RU" w:bidi="ar-SA"/>
    </w:rPr>
  </w:style>
  <w:style w:type="paragraph" w:styleId="Heading1">
    <w:name w:val="heading 1"/>
    <w:basedOn w:val="Normal"/>
    <w:next w:val="Normal"/>
    <w:link w:val="1"/>
    <w:uiPriority w:val="99"/>
    <w:qFormat/>
    <w:rsid w:val="0048759a"/>
    <w:pPr>
      <w:widowControl w:val="false"/>
      <w:spacing w:lineRule="auto" w:line="240" w:before="108" w:after="108"/>
      <w:jc w:val="center"/>
      <w:outlineLvl w:val="0"/>
    </w:pPr>
    <w:rPr>
      <w:rFonts w:ascii="Times New Roman CYR" w:hAnsi="Times New Roman CYR" w:eastAsia="DejaVu Sans" w:cs="Times New Roman CYR" w:eastAsiaTheme="minorEastAsia"/>
      <w:b/>
      <w:bCs/>
      <w:color w:val="26282F"/>
      <w:sz w:val="24"/>
      <w:szCs w:val="24"/>
    </w:rPr>
  </w:style>
  <w:style w:type="character" w:styleId="DefaultParagraphFont" w:default="1">
    <w:name w:val="Default Paragraph Font"/>
    <w:uiPriority w:val="1"/>
    <w:unhideWhenUsed/>
    <w:qFormat/>
    <w:rPr/>
  </w:style>
  <w:style w:type="character" w:styleId="Emphasis">
    <w:name w:val="Emphasis"/>
    <w:basedOn w:val="DefaultParagraphFont"/>
    <w:uiPriority w:val="20"/>
    <w:qFormat/>
    <w:rsid w:val="0072542f"/>
    <w:rPr>
      <w:rFonts w:ascii="Times New Roman" w:hAnsi="Times New Roman"/>
      <w:b w:val="false"/>
      <w:i/>
      <w:iCs/>
      <w:color w:themeColor="text1" w:val="000000"/>
      <w:sz w:val="28"/>
    </w:rPr>
  </w:style>
  <w:style w:type="character" w:styleId="1" w:customStyle="1">
    <w:name w:val="Заголовок 1 Знак"/>
    <w:basedOn w:val="DefaultParagraphFont"/>
    <w:uiPriority w:val="99"/>
    <w:qFormat/>
    <w:rsid w:val="0048759a"/>
    <w:rPr>
      <w:rFonts w:ascii="Times New Roman CYR" w:hAnsi="Times New Roman CYR" w:eastAsia="DejaVu Sans" w:cs="Times New Roman CYR" w:eastAsiaTheme="minorEastAsia"/>
      <w:b/>
      <w:bCs/>
      <w:color w:val="26282F"/>
      <w:sz w:val="24"/>
      <w:szCs w:val="24"/>
      <w:lang w:eastAsia="ru-RU"/>
    </w:rPr>
  </w:style>
  <w:style w:type="character" w:styleId="Style13" w:customStyle="1">
    <w:name w:val="Текст выноски Знак"/>
    <w:basedOn w:val="DefaultParagraphFont"/>
    <w:link w:val="BalloonText"/>
    <w:uiPriority w:val="99"/>
    <w:semiHidden/>
    <w:qFormat/>
    <w:rsid w:val="0048759a"/>
    <w:rPr>
      <w:rFonts w:ascii="Segoe UI" w:hAnsi="Segoe UI" w:eastAsia="Times New Roman" w:cs="Segoe UI"/>
      <w:sz w:val="18"/>
      <w:szCs w:val="18"/>
      <w:lang w:eastAsia="ru-RU"/>
    </w:rPr>
  </w:style>
  <w:style w:type="character" w:styleId="Style14" w:customStyle="1">
    <w:name w:val="Верхний колонтитул Знак"/>
    <w:basedOn w:val="DefaultParagraphFont"/>
    <w:uiPriority w:val="99"/>
    <w:qFormat/>
    <w:rsid w:val="0048759a"/>
    <w:rPr>
      <w:rFonts w:ascii="Times New Roman" w:hAnsi="Times New Roman" w:eastAsia="Times New Roman" w:cs="Times New Roman"/>
      <w:sz w:val="28"/>
      <w:szCs w:val="20"/>
      <w:lang w:eastAsia="ru-RU"/>
    </w:rPr>
  </w:style>
  <w:style w:type="character" w:styleId="Style15" w:customStyle="1">
    <w:name w:val="Нижний колонтитул Знак"/>
    <w:basedOn w:val="DefaultParagraphFont"/>
    <w:uiPriority w:val="99"/>
    <w:qFormat/>
    <w:rsid w:val="0048759a"/>
    <w:rPr>
      <w:rFonts w:ascii="Times New Roman" w:hAnsi="Times New Roman" w:eastAsia="Times New Roman" w:cs="Times New Roman"/>
      <w:sz w:val="28"/>
      <w:szCs w:val="20"/>
      <w:lang w:eastAsia="ru-RU"/>
    </w:rPr>
  </w:style>
  <w:style w:type="character" w:styleId="Style16" w:customStyle="1">
    <w:name w:val="Гипертекстовая ссылка"/>
    <w:basedOn w:val="DefaultParagraphFont"/>
    <w:uiPriority w:val="99"/>
    <w:qFormat/>
    <w:rsid w:val="0048759a"/>
    <w:rPr>
      <w:rFonts w:cs="Times New Roman"/>
      <w:b w:val="false"/>
      <w:color w:val="106BBE"/>
    </w:rPr>
  </w:style>
  <w:style w:type="character" w:styleId="Strong">
    <w:name w:val="Strong"/>
    <w:basedOn w:val="DefaultParagraphFont"/>
    <w:uiPriority w:val="22"/>
    <w:qFormat/>
    <w:rsid w:val="00ed5758"/>
    <w:rPr>
      <w:b/>
      <w:bCs/>
    </w:rPr>
  </w:style>
  <w:style w:type="character" w:styleId="Hyperlink">
    <w:name w:val="Hyperlink"/>
    <w:basedOn w:val="DefaultParagraphFont"/>
    <w:uiPriority w:val="99"/>
    <w:unhideWhenUsed/>
    <w:rsid w:val="00ed5758"/>
    <w:rPr>
      <w:color w:val="0000FF"/>
      <w:u w:val="single"/>
    </w:rPr>
  </w:style>
  <w:style w:type="character" w:styleId="CommentReference">
    <w:name w:val="annotation reference"/>
    <w:basedOn w:val="DefaultParagraphFont"/>
    <w:uiPriority w:val="99"/>
    <w:semiHidden/>
    <w:unhideWhenUsed/>
    <w:qFormat/>
    <w:rsid w:val="00986452"/>
    <w:rPr>
      <w:sz w:val="16"/>
      <w:szCs w:val="16"/>
    </w:rPr>
  </w:style>
  <w:style w:type="character" w:styleId="Style17" w:customStyle="1">
    <w:name w:val="Текст примечания Знак"/>
    <w:basedOn w:val="DefaultParagraphFont"/>
    <w:uiPriority w:val="99"/>
    <w:semiHidden/>
    <w:qFormat/>
    <w:rsid w:val="00986452"/>
    <w:rPr>
      <w:rFonts w:ascii="Times New Roman" w:hAnsi="Times New Roman" w:eastAsia="Times New Roman" w:cs="Times New Roman"/>
      <w:sz w:val="20"/>
      <w:szCs w:val="20"/>
      <w:lang w:eastAsia="ru-RU"/>
    </w:rPr>
  </w:style>
  <w:style w:type="character" w:styleId="Style18" w:customStyle="1">
    <w:name w:val="Тема примечания Знак"/>
    <w:basedOn w:val="Style17"/>
    <w:link w:val="annotationsubject"/>
    <w:uiPriority w:val="99"/>
    <w:semiHidden/>
    <w:qFormat/>
    <w:rsid w:val="00986452"/>
    <w:rPr>
      <w:rFonts w:ascii="Times New Roman" w:hAnsi="Times New Roman" w:eastAsia="Times New Roman" w:cs="Times New Roman"/>
      <w:b/>
      <w:bCs/>
      <w:sz w:val="20"/>
      <w:szCs w:val="20"/>
      <w:lang w:eastAsia="ru-RU"/>
    </w:rPr>
  </w:style>
  <w:style w:type="character" w:styleId="LineNumber">
    <w:name w:val="line number"/>
    <w:rPr/>
  </w:style>
  <w:style w:type="paragraph" w:styleId="Style19">
    <w:name w:val="Заголовок"/>
    <w:basedOn w:val="Normal"/>
    <w:next w:val="BodyText"/>
    <w:qFormat/>
    <w:pPr>
      <w:keepNext w:val="true"/>
      <w:spacing w:before="240" w:after="120"/>
    </w:pPr>
    <w:rPr>
      <w:rFonts w:ascii="Times New Roman" w:hAnsi="Times New Roman"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ascii="Times New Roman" w:hAnsi="Times New Roman" w:cs="Arial"/>
      <w:i/>
      <w:iCs/>
      <w:sz w:val="24"/>
      <w:szCs w:val="24"/>
    </w:rPr>
  </w:style>
  <w:style w:type="paragraph" w:styleId="Style20">
    <w:name w:val="Указатель"/>
    <w:basedOn w:val="Normal"/>
    <w:qFormat/>
    <w:pPr>
      <w:suppressLineNumbers/>
    </w:pPr>
    <w:rPr>
      <w:rFonts w:ascii="Times New Roman" w:hAnsi="Times New Roman" w:cs="Arial"/>
    </w:rPr>
  </w:style>
  <w:style w:type="paragraph" w:styleId="user">
    <w:name w:val="Заголовок (user)"/>
    <w:basedOn w:val="Normal"/>
    <w:next w:val="BodyText"/>
    <w:qFormat/>
    <w:pPr>
      <w:keepNext w:val="true"/>
      <w:spacing w:before="240" w:after="120"/>
    </w:pPr>
    <w:rPr>
      <w:rFonts w:ascii="Times New Roman" w:hAnsi="Times New Roman" w:eastAsia="Microsoft YaHei" w:cs="Arial"/>
      <w:sz w:val="28"/>
      <w:szCs w:val="28"/>
    </w:rPr>
  </w:style>
  <w:style w:type="paragraph" w:styleId="user1">
    <w:name w:val="Указатель (user)"/>
    <w:basedOn w:val="Normal"/>
    <w:qFormat/>
    <w:pPr>
      <w:suppressLineNumbers/>
    </w:pPr>
    <w:rPr>
      <w:rFonts w:ascii="Times New Roman" w:hAnsi="Times New Roman" w:cs="Arial"/>
    </w:rPr>
  </w:style>
  <w:style w:type="paragraph" w:styleId="Title">
    <w:name w:val="Title"/>
    <w:basedOn w:val="Normal"/>
    <w:next w:val="BodyText"/>
    <w:qFormat/>
    <w:pPr>
      <w:keepNext w:val="true"/>
      <w:spacing w:before="240" w:after="120"/>
    </w:pPr>
    <w:rPr>
      <w:rFonts w:eastAsia="Microsoft YaHei" w:cs="Arial"/>
      <w:szCs w:val="28"/>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Default" w:customStyle="1">
    <w:name w:val="Default"/>
    <w:qFormat/>
    <w:rsid w:val="0048759a"/>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pc" w:customStyle="1">
    <w:name w:val="pc"/>
    <w:basedOn w:val="Normal"/>
    <w:uiPriority w:val="99"/>
    <w:qFormat/>
    <w:rsid w:val="0048759a"/>
    <w:pPr>
      <w:spacing w:lineRule="auto" w:line="240" w:beforeAutospacing="1" w:afterAutospacing="1"/>
      <w:jc w:val="left"/>
    </w:pPr>
    <w:rPr>
      <w:sz w:val="24"/>
      <w:szCs w:val="24"/>
    </w:rPr>
  </w:style>
  <w:style w:type="paragraph" w:styleId="ListParagraph">
    <w:name w:val="List Paragraph"/>
    <w:basedOn w:val="Normal"/>
    <w:uiPriority w:val="34"/>
    <w:qFormat/>
    <w:rsid w:val="0048759a"/>
    <w:pPr>
      <w:spacing w:lineRule="auto" w:line="259" w:before="0" w:after="160"/>
      <w:ind w:left="720"/>
      <w:contextualSpacing/>
      <w:jc w:val="left"/>
    </w:pPr>
    <w:rPr>
      <w:rFonts w:ascii="Arial" w:hAnsi="Arial" w:eastAsia="Arial" w:cs="DejaVu Sans" w:asciiTheme="minorHAnsi" w:cstheme="minorBidi" w:eastAsiaTheme="minorHAnsi" w:hAnsiTheme="minorHAnsi"/>
      <w:sz w:val="22"/>
      <w:szCs w:val="22"/>
      <w:lang w:eastAsia="en-US"/>
    </w:rPr>
  </w:style>
  <w:style w:type="paragraph" w:styleId="BalloonText">
    <w:name w:val="Balloon Text"/>
    <w:basedOn w:val="Normal"/>
    <w:link w:val="Style13"/>
    <w:uiPriority w:val="99"/>
    <w:semiHidden/>
    <w:unhideWhenUsed/>
    <w:qFormat/>
    <w:rsid w:val="0048759a"/>
    <w:pPr>
      <w:spacing w:lineRule="auto" w:line="240"/>
    </w:pPr>
    <w:rPr>
      <w:rFonts w:ascii="Segoe UI" w:hAnsi="Segoe UI" w:cs="Segoe UI"/>
      <w:sz w:val="18"/>
      <w:szCs w:val="18"/>
    </w:rPr>
  </w:style>
  <w:style w:type="paragraph" w:styleId="Style21" w:customStyle="1">
    <w:name w:val="Колонтитул"/>
    <w:basedOn w:val="Normal"/>
    <w:qFormat/>
    <w:pPr/>
    <w:rPr/>
  </w:style>
  <w:style w:type="paragraph" w:styleId="Style22">
    <w:name w:val="Колонтитулы"/>
    <w:basedOn w:val="Normal"/>
    <w:qFormat/>
    <w:pPr/>
    <w:rPr/>
  </w:style>
  <w:style w:type="paragraph" w:styleId="Header">
    <w:name w:val="header"/>
    <w:basedOn w:val="Normal"/>
    <w:link w:val="Style14"/>
    <w:uiPriority w:val="99"/>
    <w:unhideWhenUsed/>
    <w:rsid w:val="0048759a"/>
    <w:pPr>
      <w:tabs>
        <w:tab w:val="clear" w:pos="708"/>
        <w:tab w:val="center" w:pos="4677" w:leader="none"/>
        <w:tab w:val="right" w:pos="9355" w:leader="none"/>
      </w:tabs>
      <w:spacing w:lineRule="auto" w:line="240"/>
    </w:pPr>
    <w:rPr/>
  </w:style>
  <w:style w:type="paragraph" w:styleId="Footer">
    <w:name w:val="footer"/>
    <w:basedOn w:val="Normal"/>
    <w:link w:val="Style15"/>
    <w:uiPriority w:val="99"/>
    <w:unhideWhenUsed/>
    <w:rsid w:val="0048759a"/>
    <w:pPr>
      <w:tabs>
        <w:tab w:val="clear" w:pos="708"/>
        <w:tab w:val="center" w:pos="4677" w:leader="none"/>
        <w:tab w:val="right" w:pos="9355" w:leader="none"/>
      </w:tabs>
      <w:spacing w:lineRule="auto" w:line="240"/>
    </w:pPr>
    <w:rPr/>
  </w:style>
  <w:style w:type="paragraph" w:styleId="ConsPlusNormal" w:customStyle="1">
    <w:name w:val="ConsPlusNormal"/>
    <w:qFormat/>
    <w:rsid w:val="0048759a"/>
    <w:pPr>
      <w:widowControl/>
      <w:suppressAutoHyphens w:val="true"/>
      <w:bidi w:val="0"/>
      <w:spacing w:before="0" w:after="0"/>
      <w:jc w:val="left"/>
    </w:pPr>
    <w:rPr>
      <w:rFonts w:ascii="Arial" w:hAnsi="Arial" w:eastAsia="Arial" w:cs="Arial" w:eastAsiaTheme="minorHAnsi"/>
      <w:color w:val="auto"/>
      <w:kern w:val="0"/>
      <w:sz w:val="20"/>
      <w:szCs w:val="20"/>
      <w:lang w:val="ru-RU" w:eastAsia="en-US" w:bidi="ar-SA"/>
    </w:rPr>
  </w:style>
  <w:style w:type="paragraph" w:styleId="NoSpacing">
    <w:name w:val="No Spacing"/>
    <w:uiPriority w:val="1"/>
    <w:qFormat/>
    <w:rsid w:val="0048759a"/>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NormalWeb">
    <w:name w:val="Normal (Web)"/>
    <w:basedOn w:val="Normal"/>
    <w:uiPriority w:val="99"/>
    <w:unhideWhenUsed/>
    <w:qFormat/>
    <w:rsid w:val="0048759a"/>
    <w:pPr>
      <w:spacing w:lineRule="auto" w:line="240" w:beforeAutospacing="1" w:afterAutospacing="1"/>
      <w:jc w:val="left"/>
    </w:pPr>
    <w:rPr>
      <w:sz w:val="24"/>
      <w:szCs w:val="24"/>
    </w:rPr>
  </w:style>
  <w:style w:type="paragraph" w:styleId="CommentText">
    <w:name w:val="annotation text"/>
    <w:basedOn w:val="Normal"/>
    <w:link w:val="Style17"/>
    <w:uiPriority w:val="99"/>
    <w:semiHidden/>
    <w:unhideWhenUsed/>
    <w:qFormat/>
    <w:rsid w:val="00986452"/>
    <w:pPr>
      <w:spacing w:lineRule="auto" w:line="240"/>
    </w:pPr>
    <w:rPr>
      <w:sz w:val="20"/>
    </w:rPr>
  </w:style>
  <w:style w:type="paragraph" w:styleId="annotationsubject">
    <w:name w:val="annotation subject"/>
    <w:basedOn w:val="CommentText"/>
    <w:next w:val="CommentText"/>
    <w:link w:val="Style18"/>
    <w:uiPriority w:val="99"/>
    <w:semiHidden/>
    <w:unhideWhenUsed/>
    <w:qFormat/>
    <w:rsid w:val="00986452"/>
    <w:pPr/>
    <w:rPr>
      <w:b/>
      <w:bCs/>
    </w:rPr>
  </w:style>
  <w:style w:type="numbering" w:styleId="user2"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6">
    <w:name w:val="Table Grid"/>
    <w:basedOn w:val="a1"/>
    <w:uiPriority w:val="39"/>
    <w:rsid w:val="0048759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ogin.consultant.ru/link/?req=doc&amp;base=LAW&amp;n=511331&amp;dst=100116" TargetMode="External"/><Relationship Id="rId4" Type="http://schemas.openxmlformats.org/officeDocument/2006/relationships/hyperlink" Target="https://login.consultant.ru/link/?req=doc&amp;base=LAW&amp;n=504343&amp;dst=100009"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yperlink" Target="https://login.consultant.ru/link/?req=doc&amp;base=LAW&amp;n=511331" TargetMode="External"/><Relationship Id="rId12" Type="http://schemas.openxmlformats.org/officeDocument/2006/relationships/hyperlink" Target="https://login.consultant.ru/link/?req=doc&amp;base=RLAW076&amp;n=83260&amp;dst=100297" TargetMode="External"/><Relationship Id="rId13" Type="http://schemas.openxmlformats.org/officeDocument/2006/relationships/hyperlink" Target="https://login.consultant.ru/link/?req=doc&amp;base=RLAW076&amp;n=83260&amp;dst=100539" TargetMode="External"/><Relationship Id="rId14" Type="http://schemas.openxmlformats.org/officeDocument/2006/relationships/hyperlink" Target="https://login.consultant.ru/link/?req=doc&amp;base=LAW&amp;n=523235&amp;dst=336" TargetMode="External"/><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footer" Target="footer6.xml"/><Relationship Id="rId21" Type="http://schemas.openxmlformats.org/officeDocument/2006/relationships/hyperlink" Target="https://login.consultant.ru/link/?req=doc&amp;base=RLAW076&amp;n=83260&amp;dst=100394" TargetMode="External"/><Relationship Id="rId22" Type="http://schemas.openxmlformats.org/officeDocument/2006/relationships/hyperlink" Target="https://login.consultant.ru/link/?req=doc&amp;base=RLAW076&amp;n=83260&amp;dst=100399" TargetMode="External"/><Relationship Id="rId23" Type="http://schemas.openxmlformats.org/officeDocument/2006/relationships/hyperlink" Target="https://login.consultant.ru/link/?req=doc&amp;base=RLAW076&amp;n=83260&amp;dst=100405" TargetMode="External"/><Relationship Id="rId24" Type="http://schemas.openxmlformats.org/officeDocument/2006/relationships/header" Target="header7.xml"/><Relationship Id="rId25" Type="http://schemas.openxmlformats.org/officeDocument/2006/relationships/header" Target="header8.xml"/><Relationship Id="rId26" Type="http://schemas.openxmlformats.org/officeDocument/2006/relationships/header" Target="header9.xml"/><Relationship Id="rId27" Type="http://schemas.openxmlformats.org/officeDocument/2006/relationships/footer" Target="footer7.xml"/><Relationship Id="rId28" Type="http://schemas.openxmlformats.org/officeDocument/2006/relationships/footer" Target="footer8.xml"/><Relationship Id="rId29" Type="http://schemas.openxmlformats.org/officeDocument/2006/relationships/footer" Target="footer9.xml"/><Relationship Id="rId30" Type="http://schemas.openxmlformats.org/officeDocument/2006/relationships/comments" Target="comments.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Relationship Id="rId3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6874B-1A4A-4382-AAF1-799DB8109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Application>LibreOffice/25.8.1.1$Windows_X86_64 LibreOffice_project/54047653041915e595ad4e45cccea684809c77b5</Application>
  <AppVersion>15.0000</AppVersion>
  <Pages>20</Pages>
  <Words>4389</Words>
  <Characters>35140</Characters>
  <CharactersWithSpaces>39430</CharactersWithSpaces>
  <Paragraphs>195</Paragraphs>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2026-03-19T17:26:00Z</dcterms:created>
  <dc:creator>ULSTU40</dc:creator>
  <dc:description/>
  <dc:language>ru-RU</dc:language>
  <cp:lastModifiedBy/>
  <cp:lastPrinted>2026-04-20T11:18:59Z</cp:lastPrinted>
  <dcterms:modified xsi:type="dcterms:W3CDTF">2026-07-23T14:28:27Z</dcterms:modified>
  <cp:revision>14</cp:revision>
  <dc:subject/>
  <dc:title>Постановление Правительства Ульяновской области от 14.07.2014 N 298-П(ред. от 10.10.2025)"О разработке и утверждении административных регламентов предоставления государственных услуг"(вместе с "Правилами разработки и утверждения административных регламентов предоставления государственных услуг", "Правилами проведения экспертизы проектов административных регламентов предоставления государственных услуг")</dc:title>
</cp:coreProperties>
</file>

<file path=docProps/custom.xml><?xml version="1.0" encoding="utf-8"?>
<Properties xmlns="http://schemas.openxmlformats.org/officeDocument/2006/custom-properties" xmlns:vt="http://schemas.openxmlformats.org/officeDocument/2006/docPropsVTypes"/>
</file>