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5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295"/>
        <w:gridCol w:w="1342"/>
        <w:gridCol w:w="2562"/>
        <w:gridCol w:w="1261"/>
        <w:gridCol w:w="1080"/>
      </w:tblGrid>
      <w:tr>
        <w:trPr>
          <w:trHeight w:val="1796" w:hRule="atLeast"/>
        </w:trPr>
        <w:tc>
          <w:tcPr>
            <w:tcW w:w="9540" w:type="dxa"/>
            <w:gridSpan w:val="5"/>
            <w:tcBorders/>
          </w:tcPr>
          <w:p>
            <w:pPr>
              <w:pStyle w:val="Normal"/>
              <w:ind w:right="-396"/>
              <w:jc w:val="center"/>
              <w:rPr>
                <w:b/>
                <w:sz w:val="22"/>
              </w:rPr>
            </w:pPr>
            <w:r>
              <w:rPr/>
              <w:drawing>
                <wp:inline distT="0" distB="0" distL="0" distR="0">
                  <wp:extent cx="523875" cy="6000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2"/>
                          <a:stretch>
                            <a:fillRect/>
                          </a:stretch>
                        </pic:blipFill>
                        <pic:spPr bwMode="auto">
                          <a:xfrm>
                            <a:off x="0" y="0"/>
                            <a:ext cx="523875" cy="600075"/>
                          </a:xfrm>
                          <a:prstGeom prst="rect">
                            <a:avLst/>
                          </a:prstGeom>
                        </pic:spPr>
                      </pic:pic>
                    </a:graphicData>
                  </a:graphic>
                </wp:inline>
              </w:drawing>
            </w:r>
          </w:p>
          <w:p>
            <w:pPr>
              <w:pStyle w:val="Normal"/>
              <w:tabs>
                <w:tab w:val="clear" w:pos="708"/>
                <w:tab w:val="left" w:pos="6480" w:leader="none"/>
              </w:tabs>
              <w:jc w:val="center"/>
              <w:rPr>
                <w:b/>
                <w:bCs/>
                <w:sz w:val="28"/>
                <w:szCs w:val="28"/>
              </w:rPr>
            </w:pPr>
            <w:r>
              <w:rPr>
                <w:b/>
                <w:bCs/>
                <w:sz w:val="28"/>
                <w:szCs w:val="28"/>
              </w:rPr>
              <w:t>Администрация</w:t>
            </w:r>
          </w:p>
          <w:p>
            <w:pPr>
              <w:pStyle w:val="Normal"/>
              <w:tabs>
                <w:tab w:val="clear" w:pos="708"/>
                <w:tab w:val="left" w:pos="6480" w:leader="none"/>
              </w:tabs>
              <w:jc w:val="center"/>
              <w:rPr>
                <w:b/>
                <w:bCs/>
                <w:sz w:val="28"/>
                <w:szCs w:val="28"/>
              </w:rPr>
            </w:pPr>
            <w:r>
              <w:rPr>
                <w:b/>
                <w:bCs/>
                <w:sz w:val="28"/>
                <w:szCs w:val="28"/>
              </w:rPr>
              <w:t>муниципального образования «Город Новоульяновск»</w:t>
            </w:r>
          </w:p>
          <w:p>
            <w:pPr>
              <w:pStyle w:val="Normal"/>
              <w:tabs>
                <w:tab w:val="clear" w:pos="708"/>
                <w:tab w:val="left" w:pos="6480" w:leader="none"/>
              </w:tabs>
              <w:jc w:val="center"/>
              <w:rPr>
                <w:b/>
                <w:bCs/>
                <w:sz w:val="28"/>
                <w:szCs w:val="28"/>
              </w:rPr>
            </w:pPr>
            <w:r>
              <w:rPr>
                <w:b/>
                <w:bCs/>
                <w:sz w:val="28"/>
                <w:szCs w:val="28"/>
              </w:rPr>
              <w:t>Ульяновской области</w:t>
            </w:r>
          </w:p>
        </w:tc>
      </w:tr>
      <w:tr>
        <w:trPr>
          <w:trHeight w:val="283" w:hRule="atLeast"/>
        </w:trPr>
        <w:tc>
          <w:tcPr>
            <w:tcW w:w="9540" w:type="dxa"/>
            <w:gridSpan w:val="5"/>
            <w:tcBorders/>
          </w:tcPr>
          <w:p>
            <w:pPr>
              <w:pStyle w:val="Normal"/>
              <w:jc w:val="center"/>
              <w:rPr/>
            </w:pPr>
            <w:r>
              <w:rPr/>
            </w:r>
          </w:p>
        </w:tc>
      </w:tr>
      <w:tr>
        <w:trPr>
          <w:trHeight w:val="283" w:hRule="atLeast"/>
        </w:trPr>
        <w:tc>
          <w:tcPr>
            <w:tcW w:w="9540" w:type="dxa"/>
            <w:gridSpan w:val="5"/>
            <w:tcBorders/>
          </w:tcPr>
          <w:p>
            <w:pPr>
              <w:pStyle w:val="Normal"/>
              <w:jc w:val="center"/>
              <w:rPr>
                <w:b/>
                <w:sz w:val="36"/>
                <w:szCs w:val="36"/>
              </w:rPr>
            </w:pPr>
            <w:r>
              <w:rPr>
                <w:b/>
                <w:sz w:val="36"/>
                <w:szCs w:val="36"/>
              </w:rPr>
              <w:t>П  О  С  Т  А  Н  О  В  Л  Е  Н  И  Е</w:t>
            </w:r>
          </w:p>
        </w:tc>
      </w:tr>
      <w:tr>
        <w:trPr>
          <w:trHeight w:val="283" w:hRule="atLeast"/>
        </w:trPr>
        <w:tc>
          <w:tcPr>
            <w:tcW w:w="9540" w:type="dxa"/>
            <w:gridSpan w:val="5"/>
            <w:tcBorders/>
          </w:tcPr>
          <w:p>
            <w:pPr>
              <w:pStyle w:val="Normal"/>
              <w:jc w:val="center"/>
              <w:rPr/>
            </w:pPr>
            <w:r>
              <w:rPr/>
            </w:r>
          </w:p>
        </w:tc>
      </w:tr>
      <w:tr>
        <w:trPr>
          <w:trHeight w:val="283" w:hRule="atLeast"/>
        </w:trPr>
        <w:tc>
          <w:tcPr>
            <w:tcW w:w="9540" w:type="dxa"/>
            <w:gridSpan w:val="5"/>
            <w:tcBorders/>
          </w:tcPr>
          <w:p>
            <w:pPr>
              <w:pStyle w:val="Normal"/>
              <w:jc w:val="center"/>
              <w:rPr/>
            </w:pPr>
            <w:r>
              <w:rPr/>
            </w:r>
          </w:p>
        </w:tc>
      </w:tr>
      <w:tr>
        <w:trPr>
          <w:trHeight w:val="285" w:hRule="atLeast"/>
        </w:trPr>
        <w:tc>
          <w:tcPr>
            <w:tcW w:w="3295" w:type="dxa"/>
            <w:tcBorders>
              <w:bottom w:val="single" w:sz="4" w:space="0" w:color="000000"/>
            </w:tcBorders>
            <w:vAlign w:val="bottom"/>
          </w:tcPr>
          <w:p>
            <w:pPr>
              <w:pStyle w:val="Normal"/>
              <w:rPr>
                <w:sz w:val="28"/>
                <w:szCs w:val="28"/>
              </w:rPr>
            </w:pPr>
            <w:r>
              <w:rPr>
                <w:sz w:val="28"/>
                <w:szCs w:val="28"/>
              </w:rPr>
              <w:t>14                июля</w:t>
            </w:r>
          </w:p>
        </w:tc>
        <w:tc>
          <w:tcPr>
            <w:tcW w:w="1342" w:type="dxa"/>
            <w:tcBorders/>
            <w:vAlign w:val="bottom"/>
          </w:tcPr>
          <w:p>
            <w:pPr>
              <w:pStyle w:val="Normal"/>
              <w:rPr>
                <w:sz w:val="28"/>
                <w:lang w:val="en-US"/>
              </w:rPr>
            </w:pPr>
            <w:r>
              <w:rPr>
                <w:sz w:val="28"/>
              </w:rPr>
              <w:t>2022 г.</w:t>
            </w:r>
          </w:p>
        </w:tc>
        <w:tc>
          <w:tcPr>
            <w:tcW w:w="2562" w:type="dxa"/>
            <w:vMerge w:val="restart"/>
            <w:tcBorders/>
          </w:tcPr>
          <w:p>
            <w:pPr>
              <w:pStyle w:val="Normal"/>
              <w:jc w:val="center"/>
              <w:rPr>
                <w:lang w:val="en-US"/>
              </w:rPr>
            </w:pPr>
            <w:r>
              <w:rPr>
                <w:lang w:val="en-US"/>
              </w:rPr>
            </w:r>
          </w:p>
        </w:tc>
        <w:tc>
          <w:tcPr>
            <w:tcW w:w="1261" w:type="dxa"/>
            <w:tcBorders/>
            <w:vAlign w:val="bottom"/>
          </w:tcPr>
          <w:p>
            <w:pPr>
              <w:pStyle w:val="Normal"/>
              <w:jc w:val="right"/>
              <w:rPr>
                <w:sz w:val="28"/>
                <w:szCs w:val="28"/>
                <w:lang w:val="en-US"/>
              </w:rPr>
            </w:pPr>
            <w:r>
              <w:rPr>
                <w:sz w:val="28"/>
                <w:szCs w:val="28"/>
                <w:lang w:val="en-US"/>
              </w:rPr>
              <w:t xml:space="preserve"> </w:t>
            </w:r>
            <w:r>
              <w:rPr>
                <w:sz w:val="28"/>
                <w:szCs w:val="28"/>
              </w:rPr>
              <w:t>№</w:t>
            </w:r>
          </w:p>
        </w:tc>
        <w:tc>
          <w:tcPr>
            <w:tcW w:w="1080" w:type="dxa"/>
            <w:tcBorders>
              <w:bottom w:val="single" w:sz="4" w:space="0" w:color="000000"/>
            </w:tcBorders>
          </w:tcPr>
          <w:p>
            <w:pPr>
              <w:pStyle w:val="Normal"/>
              <w:spacing w:lineRule="auto" w:line="360"/>
              <w:rPr>
                <w:sz w:val="28"/>
                <w:szCs w:val="28"/>
              </w:rPr>
            </w:pPr>
            <w:r>
              <w:rPr>
                <w:sz w:val="28"/>
                <w:szCs w:val="28"/>
              </w:rPr>
              <w:t>363-П</w:t>
            </w:r>
          </w:p>
        </w:tc>
      </w:tr>
      <w:tr>
        <w:trPr>
          <w:trHeight w:val="180" w:hRule="atLeast"/>
        </w:trPr>
        <w:tc>
          <w:tcPr>
            <w:tcW w:w="4637" w:type="dxa"/>
            <w:gridSpan w:val="2"/>
            <w:vMerge w:val="restart"/>
            <w:tcBorders/>
            <w:vAlign w:val="bottom"/>
          </w:tcPr>
          <w:p>
            <w:pPr>
              <w:pStyle w:val="Normal"/>
              <w:spacing w:before="120" w:after="0"/>
              <w:rPr>
                <w:lang w:val="en-US"/>
              </w:rPr>
            </w:pPr>
            <w:r>
              <w:rPr>
                <w:lang w:val="en-US"/>
              </w:rPr>
            </w:r>
          </w:p>
        </w:tc>
        <w:tc>
          <w:tcPr>
            <w:tcW w:w="2562" w:type="dxa"/>
            <w:vMerge w:val="continue"/>
            <w:tcBorders/>
            <w:vAlign w:val="center"/>
          </w:tcPr>
          <w:p>
            <w:pPr>
              <w:pStyle w:val="Normal"/>
              <w:rPr>
                <w:lang w:val="en-US"/>
              </w:rPr>
            </w:pPr>
            <w:r>
              <w:rPr>
                <w:lang w:val="en-US"/>
              </w:rPr>
            </w:r>
          </w:p>
        </w:tc>
        <w:tc>
          <w:tcPr>
            <w:tcW w:w="1261" w:type="dxa"/>
            <w:tcBorders/>
            <w:vAlign w:val="bottom"/>
          </w:tcPr>
          <w:p>
            <w:pPr>
              <w:pStyle w:val="Normal"/>
              <w:spacing w:before="120" w:after="0"/>
              <w:jc w:val="right"/>
              <w:rPr/>
            </w:pPr>
            <w:r>
              <w:rPr/>
              <w:t>Экз №</w:t>
            </w:r>
          </w:p>
        </w:tc>
        <w:tc>
          <w:tcPr>
            <w:tcW w:w="1080" w:type="dxa"/>
            <w:tcBorders>
              <w:top w:val="single" w:sz="4" w:space="0" w:color="000000"/>
              <w:bottom w:val="single" w:sz="4" w:space="0" w:color="000000"/>
            </w:tcBorders>
            <w:vAlign w:val="bottom"/>
          </w:tcPr>
          <w:p>
            <w:pPr>
              <w:pStyle w:val="Normal"/>
              <w:spacing w:before="120" w:after="0"/>
              <w:rPr/>
            </w:pPr>
            <w:r>
              <w:rPr/>
            </w:r>
          </w:p>
        </w:tc>
      </w:tr>
      <w:tr>
        <w:trPr>
          <w:trHeight w:val="255" w:hRule="atLeast"/>
        </w:trPr>
        <w:tc>
          <w:tcPr>
            <w:tcW w:w="4637" w:type="dxa"/>
            <w:gridSpan w:val="2"/>
            <w:vMerge w:val="continue"/>
            <w:tcBorders/>
            <w:vAlign w:val="center"/>
          </w:tcPr>
          <w:p>
            <w:pPr>
              <w:pStyle w:val="Normal"/>
              <w:rPr>
                <w:lang w:val="en-US"/>
              </w:rPr>
            </w:pPr>
            <w:r>
              <w:rPr>
                <w:lang w:val="en-US"/>
              </w:rPr>
            </w:r>
          </w:p>
        </w:tc>
        <w:tc>
          <w:tcPr>
            <w:tcW w:w="2562" w:type="dxa"/>
            <w:vMerge w:val="continue"/>
            <w:tcBorders/>
            <w:vAlign w:val="center"/>
          </w:tcPr>
          <w:p>
            <w:pPr>
              <w:pStyle w:val="Normal"/>
              <w:rPr>
                <w:lang w:val="en-US"/>
              </w:rPr>
            </w:pPr>
            <w:r>
              <w:rPr>
                <w:lang w:val="en-US"/>
              </w:rPr>
            </w:r>
          </w:p>
        </w:tc>
        <w:tc>
          <w:tcPr>
            <w:tcW w:w="2341" w:type="dxa"/>
            <w:gridSpan w:val="2"/>
            <w:tcBorders/>
          </w:tcPr>
          <w:p>
            <w:pPr>
              <w:pStyle w:val="Normal"/>
              <w:spacing w:lineRule="auto" w:line="360"/>
              <w:rPr/>
            </w:pPr>
            <w:r>
              <w:rPr/>
            </w:r>
          </w:p>
        </w:tc>
      </w:tr>
      <w:tr>
        <w:trPr>
          <w:trHeight w:val="1476" w:hRule="atLeast"/>
        </w:trPr>
        <w:tc>
          <w:tcPr>
            <w:tcW w:w="9540" w:type="dxa"/>
            <w:gridSpan w:val="5"/>
            <w:tcBorders/>
            <w:vAlign w:val="bottom"/>
          </w:tcPr>
          <w:p>
            <w:pPr>
              <w:pStyle w:val="Normal"/>
              <w:tabs>
                <w:tab w:val="clear" w:pos="708"/>
                <w:tab w:val="left" w:pos="9008" w:leader="none"/>
              </w:tabs>
              <w:ind w:right="316"/>
              <w:jc w:val="center"/>
              <w:rPr>
                <w:b/>
                <w:sz w:val="28"/>
                <w:szCs w:val="28"/>
              </w:rPr>
            </w:pPr>
            <w:r>
              <w:rPr>
                <w:rFonts w:cs="Tahoma"/>
                <w:b/>
                <w:sz w:val="28"/>
                <w:szCs w:val="28"/>
              </w:rPr>
              <w:t>Об утверждении административного регламента по предоставлению муниципальной услуги «Принятие на учёт граждан в качестве нуждающихся в жилых помещениях, предоставляемых по договорам социального найма»</w:t>
            </w:r>
          </w:p>
        </w:tc>
      </w:tr>
    </w:tbl>
    <w:p>
      <w:pPr>
        <w:pStyle w:val="Normal"/>
        <w:ind w:right="-365"/>
        <w:jc w:val="both"/>
        <w:rPr>
          <w:sz w:val="28"/>
          <w:szCs w:val="28"/>
        </w:rPr>
      </w:pPr>
      <w:r>
        <w:rPr>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w:t>
      </w:r>
      <w:hyperlink r:id="rId3" w:tgtFrame="Федеральный закон от 06.10.2003 N 131-ФЗ (ред. от 30.12.2021) Об общих принципах организации местного самоуправления в Российской Федерации&quot;{КонсультантПлюс}">
        <w:r>
          <w:rPr>
            <w:rFonts w:cs="Times New Roman" w:ascii="Times New Roman" w:hAnsi="Times New Roman"/>
            <w:color w:themeColor="text1" w:val="000000"/>
            <w:sz w:val="28"/>
            <w:szCs w:val="28"/>
          </w:rPr>
          <w:t>законом</w:t>
        </w:r>
      </w:hyperlink>
      <w:r>
        <w:rPr>
          <w:rFonts w:cs="Times New Roman"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4" w:tgtFrame="Закон Ульяновской области от 06.05.2006 N 49-ЗО (ред. от 20.12.2021) 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 предоставляемых по договорам социаль">
        <w:r>
          <w:rPr>
            <w:rFonts w:cs="Times New Roman" w:ascii="Times New Roman" w:hAnsi="Times New Roman"/>
            <w:color w:themeColor="text1" w:val="000000"/>
            <w:sz w:val="28"/>
            <w:szCs w:val="28"/>
          </w:rPr>
          <w:t>Законом</w:t>
        </w:r>
      </w:hyperlink>
      <w:r>
        <w:rPr>
          <w:rFonts w:cs="Times New Roman" w:ascii="Times New Roman" w:hAnsi="Times New Roman"/>
          <w:sz w:val="28"/>
          <w:szCs w:val="28"/>
        </w:rPr>
        <w:t xml:space="preserve"> Ульяновской области от 06.05.2006 № 49-ЗО                «О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 предоставляемых по договорам социального найма», </w:t>
      </w:r>
      <w:hyperlink r:id="rId5" w:tgtFrame="Устав муниципального образования Мелекесский район">
        <w:r>
          <w:rPr>
            <w:rFonts w:cs="Times New Roman" w:ascii="Times New Roman" w:hAnsi="Times New Roman"/>
            <w:color w:themeColor="text1" w:val="000000"/>
            <w:sz w:val="28"/>
            <w:szCs w:val="28"/>
          </w:rPr>
          <w:t>Уставом</w:t>
        </w:r>
      </w:hyperlink>
      <w:r>
        <w:rPr>
          <w:rFonts w:cs="Times New Roman" w:ascii="Times New Roman" w:hAnsi="Times New Roman"/>
          <w:sz w:val="28"/>
          <w:szCs w:val="28"/>
        </w:rPr>
        <w:t xml:space="preserve"> муниципального образования «Город Новоульяновск» Ульяновской области Администрация муниципального образования «Город Новоульяновск» Ульяновской области постановляет: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Утвердить прилагаемый административный </w:t>
      </w:r>
      <w:hyperlink w:anchor="Par37" w:tgtFrame="АДМИНИСТРАТИВНЫЙ РЕГЛАМЕНТ">
        <w:r>
          <w:rPr>
            <w:rFonts w:cs="Times New Roman" w:ascii="Times New Roman" w:hAnsi="Times New Roman"/>
            <w:color w:themeColor="text1" w:val="000000"/>
            <w:sz w:val="28"/>
            <w:szCs w:val="28"/>
          </w:rPr>
          <w:t>регламент</w:t>
        </w:r>
      </w:hyperlink>
      <w:r>
        <w:rPr>
          <w:rFonts w:cs="Times New Roman" w:ascii="Times New Roman" w:hAnsi="Times New Roman"/>
          <w:sz w:val="28"/>
          <w:szCs w:val="28"/>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Настоящее постановление вступает в силу после дня его официального опубликования.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Контроль за исполнение настоящего постановления возложить на Первого Заместителя Главы Администрации муниципального образования «Город Новоульяновск» Ульяновской области Н.Н. Сироткину.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b/>
          <w:sz w:val="28"/>
          <w:szCs w:val="28"/>
        </w:rPr>
      </w:pPr>
      <w:r>
        <w:rPr>
          <w:rFonts w:cs="Times New Roman" w:ascii="Times New Roman" w:hAnsi="Times New Roman"/>
          <w:b/>
          <w:sz w:val="28"/>
          <w:szCs w:val="28"/>
        </w:rPr>
        <w:t>Глава Администрации                                                        С.А. Косаринова</w:t>
      </w:r>
    </w:p>
    <w:p>
      <w:pPr>
        <w:pStyle w:val="Normal"/>
        <w:rPr/>
      </w:pPr>
      <w:r>
        <w:rPr/>
      </w:r>
    </w:p>
    <w:p>
      <w:pPr>
        <w:pStyle w:val="Normal"/>
        <w:rPr/>
      </w:pPr>
      <w:r>
        <w:rPr/>
      </w:r>
    </w:p>
    <w:p>
      <w:pPr>
        <w:sectPr>
          <w:type w:val="nextPage"/>
          <w:pgSz w:w="11906" w:h="16838"/>
          <w:pgMar w:left="1701" w:right="850" w:gutter="0" w:header="0" w:top="1134" w:footer="0" w:bottom="1134"/>
          <w:pgNumType w:fmt="decimal"/>
          <w:formProt w:val="false"/>
          <w:textDirection w:val="lrTb"/>
          <w:docGrid w:type="default" w:linePitch="360" w:charSpace="0"/>
        </w:sectPr>
        <w:pStyle w:val="Normal"/>
        <w:rPr>
          <w:sz w:val="28"/>
        </w:rPr>
      </w:pPr>
      <w:r>
        <w:rPr>
          <w:sz w:val="28"/>
        </w:rPr>
        <w:t>000363</w:t>
      </w:r>
    </w:p>
    <w:p>
      <w:pPr>
        <w:pStyle w:val="Normal"/>
        <w:rPr>
          <w:sz w:val="28"/>
        </w:rPr>
      </w:pPr>
      <w:r>
        <w:rPr>
          <w:sz w:val="28"/>
        </w:rPr>
      </w:r>
    </w:p>
    <w:p>
      <w:pPr>
        <w:pStyle w:val="Normal"/>
        <w:jc w:val="right"/>
        <w:rPr>
          <w:sz w:val="28"/>
          <w:szCs w:val="28"/>
        </w:rPr>
      </w:pPr>
      <w:r>
        <w:rPr>
          <w:sz w:val="28"/>
          <w:szCs w:val="28"/>
        </w:rPr>
        <w:t>Приложение</w:t>
      </w:r>
    </w:p>
    <w:p>
      <w:pPr>
        <w:pStyle w:val="Normal"/>
        <w:jc w:val="right"/>
        <w:rPr>
          <w:sz w:val="28"/>
          <w:szCs w:val="28"/>
        </w:rPr>
      </w:pPr>
      <w:r>
        <w:rPr>
          <w:sz w:val="28"/>
          <w:szCs w:val="28"/>
        </w:rPr>
        <w:t>к постановлению Администрации</w:t>
      </w:r>
    </w:p>
    <w:p>
      <w:pPr>
        <w:pStyle w:val="Normal"/>
        <w:jc w:val="right"/>
        <w:rPr>
          <w:sz w:val="28"/>
          <w:szCs w:val="28"/>
        </w:rPr>
      </w:pPr>
      <w:r>
        <w:rPr>
          <w:sz w:val="28"/>
          <w:szCs w:val="28"/>
        </w:rPr>
        <w:t>муниципального образования</w:t>
      </w:r>
    </w:p>
    <w:p>
      <w:pPr>
        <w:pStyle w:val="Normal"/>
        <w:jc w:val="right"/>
        <w:rPr>
          <w:sz w:val="28"/>
          <w:szCs w:val="28"/>
        </w:rPr>
      </w:pPr>
      <w:r>
        <w:rPr>
          <w:sz w:val="28"/>
          <w:szCs w:val="28"/>
        </w:rPr>
        <w:t>«Город Новоульяновск»</w:t>
      </w:r>
    </w:p>
    <w:p>
      <w:pPr>
        <w:pStyle w:val="Normal"/>
        <w:jc w:val="right"/>
        <w:rPr>
          <w:sz w:val="28"/>
          <w:szCs w:val="28"/>
        </w:rPr>
      </w:pPr>
      <w:r>
        <w:rPr>
          <w:sz w:val="28"/>
          <w:szCs w:val="28"/>
        </w:rPr>
        <w:t>Ульяновской области</w:t>
      </w:r>
    </w:p>
    <w:p>
      <w:pPr>
        <w:pStyle w:val="Normal"/>
        <w:jc w:val="right"/>
        <w:rPr>
          <w:sz w:val="28"/>
          <w:szCs w:val="28"/>
        </w:rPr>
      </w:pPr>
      <w:r>
        <w:rPr>
          <w:sz w:val="28"/>
          <w:szCs w:val="28"/>
        </w:rPr>
        <w:t xml:space="preserve">    </w:t>
      </w:r>
      <w:r>
        <w:rPr>
          <w:sz w:val="28"/>
          <w:szCs w:val="28"/>
        </w:rPr>
        <w:t>14 июля 2022 г. № 363-П</w:t>
      </w:r>
    </w:p>
    <w:p>
      <w:pPr>
        <w:pStyle w:val="Normal"/>
        <w:jc w:val="right"/>
        <w:rPr>
          <w:sz w:val="28"/>
          <w:szCs w:val="28"/>
        </w:rPr>
      </w:pPr>
      <w:r>
        <w:rPr>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 ПРЕДОСТАВЛЕНИЮ МУНИЦИПАЛЬНОЙ УСЛУГИ «ПРИНЯТИЕ НА УЧЕТ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ГРАЖДАН В КАЧЕСТВЕ НУЖДАЮЩИХСЯ В ЖИЛЫХ ПОМЕЩЕНИЯХ,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ПРЕДОСТАВЛЯЕМЫХ ПО ДОГОВОРАМ СОЦИАЛЬНОГО НАЙМА»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1.1. Предмет регулирования административного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Настоящий административный регламент устанавливает порядок предоставления на территории муниципального образования «Город Новоульяновск» Ульяновской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(далее - административный регламент, муниципальная услуга).</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1.2. Описание заявителей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физическим лицам - гражданам Российской Федерации, проживающим на территории муниципального образования «Город Новоульяновск» Ульяновской области (далее - заявитель), одновременно отвечающим следующим условиям: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признаны уполномоченным органом малоимущими в целях предоставления им жилых помещений муниципального жилищного фонда по договорам социального найма и (или) относятся к определенной федеральным законом, указом Президента Российской Федерации или законом Ульяновской области категории граждан, которым предоставляются жилые помещения жилищного фонда Российской Федерации или жилищного фонда субъекта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могут быть признаны по установленным </w:t>
      </w:r>
      <w:hyperlink r:id="rId6" w:tgtFrame="&quot;Жилищный кодекс Российской Федерации">
        <w:r>
          <w:rPr>
            <w:rFonts w:cs="Times New Roman" w:ascii="Times New Roman" w:hAnsi="Times New Roman"/>
            <w:color w:themeColor="text1" w:val="000000"/>
            <w:sz w:val="28"/>
            <w:szCs w:val="28"/>
          </w:rPr>
          <w:t>статьей 51</w:t>
        </w:r>
      </w:hyperlink>
      <w:r>
        <w:rPr>
          <w:rFonts w:cs="Times New Roman" w:ascii="Times New Roman" w:hAnsi="Times New Roman"/>
          <w:sz w:val="28"/>
          <w:szCs w:val="28"/>
        </w:rPr>
        <w:t xml:space="preserve"> Жилищного кодекса Российской Федерации основаниям нуждающимися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 имени заявителя могут выступать представители, наделенные соответствующими полномочиями выступать от имени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1.3. Требования к порядку информирования о порядке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0" w:name="Par58"/>
      <w:bookmarkEnd w:id="0"/>
      <w:r>
        <w:rPr>
          <w:rFonts w:cs="Times New Roman" w:ascii="Times New Roman" w:hAnsi="Times New Roman"/>
          <w:sz w:val="28"/>
          <w:szCs w:val="2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о порядке предоставления муниципальной услуги осуществляется уполномоченным органом: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личном устном обращении заявителей;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телефону;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путем направления ответов на письменные обращения, направляемые в уполномоченный орган по почте;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путем направления ответов на электронные обращения, направляемые в уполномоченный орган по адресу электронной почты;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путем размещения информации на официальном сайте уполномоченного органа (http://</w:t>
      </w:r>
      <w:r>
        <w:rPr>
          <w:rFonts w:cs="Times New Roman" w:ascii="Times New Roman" w:hAnsi="Times New Roman"/>
          <w:sz w:val="28"/>
          <w:szCs w:val="28"/>
          <w:lang w:val="en-US"/>
        </w:rPr>
        <w:t>novulsk</w:t>
      </w:r>
      <w:r>
        <w:rPr>
          <w:rFonts w:cs="Times New Roman" w:ascii="Times New Roman" w:hAnsi="Times New Roman"/>
          <w:sz w:val="28"/>
          <w:szCs w:val="28"/>
        </w:rPr>
        <w:t>.ru);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посредством размещения информации на Едином портале (https://www.gosuslugi.ru/);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через телефон-информатор не осуществляется.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официальном сайте уполномоченного органа, а также на Едином портале размещена следующая справочная информация: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режим работы и адреса ОГКУ «Правительство для граждан», а также его обособленных подразделений;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справочные телефоны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адрес официального сайта ОГКУ «Правительство для граждан», адрес электронной почты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предоставления муниципальной услуги.</w:t>
      </w:r>
    </w:p>
    <w:p>
      <w:pPr>
        <w:pStyle w:val="ConsPlusNormal"/>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 Наименование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2.2. Наименование органа,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предоставляющего муниципальную услугу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Администрация муниципального образования «Город Новоульяновск» Ульяновской области.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2.3. Результат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Результатами предоставления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постановление уполномоченного органа о принятии заявителя и членов его семьи на учет в качестве нуждающихся в жилом помещении, предоставляемом по договору социального найма (далее - постановление);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постановление уполномоченного органа об отказе в принятии заявителя и членов его семьи на учет в качестве нуждающихся в жилом помещении, предоставляемом по договору социального найма (далее - постановление об отказе).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 выдаваемый по результатам предоставления муниципальной услуги, подписывается Главой Администрации муниципального образования «Город Новоульяновск» Ульяновской области или должностным лицом, исполняющим его обязанности (далее - Руководитель уполномоченного органа).</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sz w:val="28"/>
          <w:szCs w:val="28"/>
          <w:lang w:eastAsia="en-US"/>
        </w:rPr>
      </w:pPr>
      <w:r>
        <w:rPr>
          <w:sz w:val="28"/>
          <w:szCs w:val="28"/>
          <w:lang w:eastAsia="en-US"/>
        </w:rPr>
        <w:t>Решение о принятии на учет или об отказе в принятии на учет должно быть принято уполномоченным органом по результатам рассмотрения заявления о принятии на учет и иных представленных или полученных по межведомственным запросам документов не позднее чем через тридцать рабочих дней со дня представления документов, обязанность представления которых возложена на гражданина, в уполномоченный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уполномоченный орган.</w:t>
      </w:r>
    </w:p>
    <w:p>
      <w:pPr>
        <w:pStyle w:val="Normal"/>
        <w:ind w:firstLine="540"/>
        <w:jc w:val="both"/>
        <w:rPr>
          <w:sz w:val="28"/>
          <w:szCs w:val="28"/>
          <w:lang w:eastAsia="en-US"/>
        </w:rPr>
      </w:pPr>
      <w:r>
        <w:rPr>
          <w:sz w:val="28"/>
          <w:szCs w:val="28"/>
          <w:lang w:eastAsia="en-US"/>
        </w:rPr>
        <w:t>Соответствующее решение уполномоченного органа оформляется постановлением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заявителем (законным представителем недееспособного заявителя) заявления через ОГКУ «Правительство для граждан» срок принятия решения о принятии заявителя и членов его семьи на учет в качестве нуждающихся в жилом помещении, предоставляемом       по договору социального найма либо об отказе в таком принятии исчисляется со дня передачи ОГКУ «Правительство для граждан» такого заявления           в уполномоченный орган.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bookmarkStart w:id="1" w:name="Par108"/>
      <w:bookmarkEnd w:id="1"/>
      <w:r>
        <w:rPr>
          <w:rFonts w:cs="Times New Roman" w:ascii="Times New Roman" w:hAnsi="Times New Roman"/>
          <w:sz w:val="28"/>
          <w:szCs w:val="28"/>
        </w:rPr>
        <w:t>2.6. Исчерпывающий перечень документов, необходимых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соответствии с законодательными или иными нормативными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правовыми актами для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sz w:val="28"/>
          <w:szCs w:val="28"/>
          <w:lang w:eastAsia="en-US"/>
        </w:rPr>
      </w:pPr>
      <w:r>
        <w:rPr>
          <w:sz w:val="28"/>
          <w:szCs w:val="28"/>
          <w:lang w:eastAsia="en-US"/>
        </w:rPr>
        <w:t>2.6.1.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(сведений), получаемых уполномоченным органом по межведомственным запросам, а именно:</w:t>
      </w:r>
    </w:p>
    <w:p>
      <w:pPr>
        <w:pStyle w:val="Normal"/>
        <w:ind w:firstLine="540"/>
        <w:jc w:val="both"/>
        <w:rPr>
          <w:sz w:val="28"/>
          <w:szCs w:val="28"/>
          <w:lang w:eastAsia="en-US"/>
        </w:rPr>
      </w:pPr>
      <w:r>
        <w:rPr>
          <w:sz w:val="28"/>
          <w:szCs w:val="28"/>
          <w:lang w:eastAsia="en-US"/>
        </w:rPr>
        <w:t>1) документ, удостоверяющий в соответствии с законодательством Российской Федерации личность гражданина;</w:t>
      </w:r>
    </w:p>
    <w:p>
      <w:pPr>
        <w:pStyle w:val="Normal"/>
        <w:ind w:firstLine="540"/>
        <w:jc w:val="both"/>
        <w:rPr>
          <w:sz w:val="28"/>
          <w:szCs w:val="28"/>
          <w:lang w:eastAsia="en-US"/>
        </w:rPr>
      </w:pPr>
      <w:r>
        <w:rPr>
          <w:sz w:val="28"/>
          <w:szCs w:val="28"/>
          <w:lang w:eastAsia="en-US"/>
        </w:rPr>
        <w:t>2) документы, подтверждающие состав семьи гражданина, если у гражданина имеется семья:</w:t>
      </w:r>
    </w:p>
    <w:p>
      <w:pPr>
        <w:pStyle w:val="Normal"/>
        <w:ind w:firstLine="540"/>
        <w:jc w:val="both"/>
        <w:rPr>
          <w:sz w:val="28"/>
          <w:szCs w:val="28"/>
          <w:lang w:eastAsia="en-US"/>
        </w:rPr>
      </w:pPr>
      <w:r>
        <w:rPr>
          <w:sz w:val="28"/>
          <w:szCs w:val="28"/>
          <w:lang w:eastAsia="en-US"/>
        </w:rPr>
        <w:t>а) свидетельства о заключении (расторжении) брака, об установлении отцовства, о перемене имени, выданные компетентными органами иностранного государства, и их перевод на русский язык, верность которого засвидетельствована нотариусом;</w:t>
      </w:r>
    </w:p>
    <w:p>
      <w:pPr>
        <w:pStyle w:val="Normal"/>
        <w:ind w:firstLine="540"/>
        <w:jc w:val="both"/>
        <w:rPr>
          <w:sz w:val="28"/>
          <w:szCs w:val="28"/>
          <w:lang w:eastAsia="en-US"/>
        </w:rPr>
      </w:pPr>
      <w:r>
        <w:rPr>
          <w:sz w:val="28"/>
          <w:szCs w:val="28"/>
          <w:lang w:eastAsia="en-US"/>
        </w:rPr>
        <w:t>б) свидетельство об усыновлении (удочерении), выданное органами записи актов гражданского состояния или консульскими учреждениями Российской Федерации;</w:t>
      </w:r>
    </w:p>
    <w:p>
      <w:pPr>
        <w:pStyle w:val="Normal"/>
        <w:ind w:firstLine="540"/>
        <w:jc w:val="both"/>
        <w:rPr>
          <w:sz w:val="28"/>
          <w:szCs w:val="28"/>
          <w:lang w:eastAsia="en-US"/>
        </w:rPr>
      </w:pPr>
      <w:r>
        <w:rPr>
          <w:sz w:val="28"/>
          <w:szCs w:val="28"/>
          <w:lang w:eastAsia="en-US"/>
        </w:rPr>
        <w:t>в) решения судов о признании лица членом семьи гражданина, о вселении, если таковые имеются;</w:t>
      </w:r>
    </w:p>
    <w:p>
      <w:pPr>
        <w:pStyle w:val="Normal"/>
        <w:ind w:firstLine="540"/>
        <w:jc w:val="both"/>
        <w:rPr>
          <w:sz w:val="28"/>
          <w:szCs w:val="28"/>
          <w:lang w:eastAsia="en-US"/>
        </w:rPr>
      </w:pPr>
      <w:r>
        <w:rPr>
          <w:sz w:val="28"/>
          <w:szCs w:val="28"/>
          <w:lang w:eastAsia="en-US"/>
        </w:rPr>
        <w:t>3) документы, удостоверяющие в соответствии с законодательством Российской Федерации личность представителя и его полномочия, если заявление о принятии на учет представлено представителем;</w:t>
      </w:r>
    </w:p>
    <w:p>
      <w:pPr>
        <w:pStyle w:val="Normal"/>
        <w:ind w:firstLine="540"/>
        <w:jc w:val="both"/>
        <w:rPr>
          <w:sz w:val="28"/>
          <w:szCs w:val="28"/>
          <w:lang w:eastAsia="en-US"/>
        </w:rPr>
      </w:pPr>
      <w:r>
        <w:rPr>
          <w:sz w:val="28"/>
          <w:szCs w:val="28"/>
          <w:lang w:eastAsia="en-US"/>
        </w:rPr>
        <w:t>4) документы, подтверждающие право пользования жилым помещением, занимаемым гражданином и членами его семьи (договор найма (поднайма) жилого помещения, договор безвозмездного пользования жилым помещением; решения судов о признании права пользования жилым помещением), либо правоустанавливающие документы на жилое помещение, занимаемое гражданином и членами его семьи (если право собственности гражданина и (или) членов его семьи на указанное жилое помещение не зарегистрировано в Едином государственном реестре недвижимости);</w:t>
      </w:r>
    </w:p>
    <w:p>
      <w:pPr>
        <w:pStyle w:val="Normal"/>
        <w:ind w:firstLine="540"/>
        <w:jc w:val="both"/>
        <w:rPr>
          <w:sz w:val="28"/>
          <w:szCs w:val="28"/>
          <w:lang w:eastAsia="en-US"/>
        </w:rPr>
      </w:pPr>
      <w:r>
        <w:rPr>
          <w:sz w:val="28"/>
          <w:szCs w:val="28"/>
          <w:lang w:eastAsia="en-US"/>
        </w:rPr>
        <w:t xml:space="preserve">5) правоустанавливающие или правоудостоверяющие документы на иные объекты недвижимости, в том числе земельные участки, находящиеся в собственности гражданина и (или) членов его семьи (если право собственности гражданина и (или) членов его семьи на указанные объекты недвижимости не зарегистрировано в Едином государственном реестре недвижимости). Документы, указанные в настоящем пункте, не представляются гражданином или его представителем, если гражданин и члены его семьи признаны малоимущими в порядке, установленном </w:t>
      </w:r>
      <w:hyperlink r:id="rId7">
        <w:r>
          <w:rPr>
            <w:color w:themeColor="text1" w:val="000000"/>
            <w:sz w:val="28"/>
            <w:szCs w:val="28"/>
            <w:lang w:eastAsia="en-US"/>
          </w:rPr>
          <w:t>Законом</w:t>
        </w:r>
      </w:hyperlink>
      <w:r>
        <w:rPr>
          <w:sz w:val="28"/>
          <w:szCs w:val="28"/>
          <w:lang w:eastAsia="en-US"/>
        </w:rPr>
        <w:t xml:space="preserve"> Ульяновской области от 6 июня 2007 года №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 (далее - Закон Ульяновской области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p>
    <w:p>
      <w:pPr>
        <w:pStyle w:val="Normal"/>
        <w:ind w:firstLine="540"/>
        <w:jc w:val="both"/>
        <w:rPr>
          <w:sz w:val="28"/>
          <w:szCs w:val="28"/>
          <w:lang w:eastAsia="en-US"/>
        </w:rPr>
      </w:pPr>
      <w:r>
        <w:rPr>
          <w:sz w:val="28"/>
          <w:szCs w:val="28"/>
          <w:lang w:eastAsia="en-US"/>
        </w:rPr>
        <w:t xml:space="preserve">6) документы, подтверждающие право гражданина состоять на учете в качестве нуждающегося в жилом помещении, предоставляемом по договору социального найма, как относящегося к категории граждан, определенной иным, кроме Жилищного </w:t>
      </w:r>
      <w:hyperlink r:id="rId8">
        <w:r>
          <w:rPr>
            <w:color w:themeColor="text1" w:val="000000"/>
            <w:sz w:val="28"/>
            <w:szCs w:val="28"/>
            <w:lang w:eastAsia="en-US"/>
          </w:rPr>
          <w:t>кодекса</w:t>
        </w:r>
      </w:hyperlink>
      <w:r>
        <w:rPr>
          <w:sz w:val="28"/>
          <w:szCs w:val="28"/>
          <w:lang w:eastAsia="en-US"/>
        </w:rPr>
        <w:t xml:space="preserve"> Российской Федерации, Федеральным законом, указом Президента Российской Федерации или законом Ульяновской области, если гражданин относится к такой категории граждан;</w:t>
      </w:r>
    </w:p>
    <w:p>
      <w:pPr>
        <w:pStyle w:val="Normal"/>
        <w:ind w:firstLine="540"/>
        <w:jc w:val="both"/>
        <w:rPr>
          <w:sz w:val="28"/>
          <w:szCs w:val="28"/>
          <w:lang w:eastAsia="en-US"/>
        </w:rPr>
      </w:pPr>
      <w:r>
        <w:rPr>
          <w:sz w:val="28"/>
          <w:szCs w:val="28"/>
          <w:lang w:eastAsia="en-US"/>
        </w:rPr>
        <w:t xml:space="preserve">7) документы, содержащие сведения о наличии (об отсутствии) у гражданина и (или) членов его семьи права собственности на объекты недвижимости, выданные органом или организацией по государственному техническому учету и (или) технической инвентаризации того субъекта Российской Федерации, в котором проживали гражданин и (или) члены его семьи до вступления в силу Федерального </w:t>
      </w:r>
      <w:hyperlink r:id="rId9">
        <w:r>
          <w:rPr>
            <w:color w:themeColor="text1" w:val="000000"/>
            <w:sz w:val="28"/>
            <w:szCs w:val="28"/>
            <w:lang w:eastAsia="en-US"/>
          </w:rPr>
          <w:t>закона</w:t>
        </w:r>
      </w:hyperlink>
      <w:r>
        <w:rPr>
          <w:sz w:val="28"/>
          <w:szCs w:val="28"/>
          <w:lang w:eastAsia="en-US"/>
        </w:rPr>
        <w:t xml:space="preserve"> от 21 июля 1997 года         № 122-ФЗ «О государственной регистрации прав на недвижимое имущество и сделок с ним». Документы, указанные в настоящем пункте, не представляются гражданином или его представителем, если гражданин и члены его семьи признаны малоимущими в порядке, установленном </w:t>
      </w:r>
      <w:hyperlink r:id="rId10">
        <w:r>
          <w:rPr>
            <w:color w:themeColor="text1" w:val="000000"/>
            <w:sz w:val="28"/>
            <w:szCs w:val="28"/>
            <w:lang w:eastAsia="en-US"/>
          </w:rPr>
          <w:t>Законом</w:t>
        </w:r>
      </w:hyperlink>
      <w:r>
        <w:rPr>
          <w:sz w:val="28"/>
          <w:szCs w:val="28"/>
          <w:lang w:eastAsia="en-US"/>
        </w:rPr>
        <w:t xml:space="preserve"> Ульяновской области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p>
    <w:p>
      <w:pPr>
        <w:pStyle w:val="Normal"/>
        <w:ind w:firstLine="540"/>
        <w:jc w:val="both"/>
        <w:rPr>
          <w:sz w:val="28"/>
          <w:szCs w:val="28"/>
          <w:lang w:eastAsia="en-US"/>
        </w:rPr>
      </w:pPr>
      <w:r>
        <w:rPr>
          <w:sz w:val="28"/>
          <w:szCs w:val="28"/>
          <w:lang w:eastAsia="en-US"/>
        </w:rPr>
        <w:t xml:space="preserve"> </w:t>
      </w:r>
      <w:r>
        <w:rPr>
          <w:sz w:val="28"/>
          <w:szCs w:val="28"/>
          <w:lang w:eastAsia="en-US"/>
        </w:rPr>
        <w:t>2.6.2. Уполномоченный орган самостоятельно запрашивает следующие документы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ind w:firstLine="540"/>
        <w:jc w:val="both"/>
        <w:rPr>
          <w:sz w:val="28"/>
          <w:szCs w:val="28"/>
          <w:lang w:eastAsia="en-US"/>
        </w:rPr>
      </w:pPr>
      <w:r>
        <w:rPr>
          <w:sz w:val="28"/>
          <w:szCs w:val="28"/>
          <w:lang w:eastAsia="en-US"/>
        </w:rPr>
        <w:t>1) сведения о регистрации гражданина по месту его жительства (месту пребывания) на территории Ульяновской области;</w:t>
      </w:r>
    </w:p>
    <w:p>
      <w:pPr>
        <w:pStyle w:val="Normal"/>
        <w:ind w:firstLine="540"/>
        <w:jc w:val="both"/>
        <w:rPr>
          <w:sz w:val="28"/>
          <w:szCs w:val="28"/>
          <w:lang w:eastAsia="en-US"/>
        </w:rPr>
      </w:pPr>
      <w:r>
        <w:rPr>
          <w:sz w:val="28"/>
          <w:szCs w:val="28"/>
          <w:lang w:eastAsia="en-US"/>
        </w:rPr>
        <w:t>2) документы (сведения), подтверждающие состав семьи гражданина, если у гражданина имеется семья:</w:t>
      </w:r>
    </w:p>
    <w:p>
      <w:pPr>
        <w:pStyle w:val="Normal"/>
        <w:ind w:firstLine="540"/>
        <w:jc w:val="both"/>
        <w:rPr>
          <w:sz w:val="28"/>
          <w:szCs w:val="28"/>
          <w:lang w:eastAsia="en-US"/>
        </w:rPr>
      </w:pPr>
      <w:r>
        <w:rPr>
          <w:sz w:val="28"/>
          <w:szCs w:val="28"/>
          <w:lang w:eastAsia="en-US"/>
        </w:rPr>
        <w:t>а) свидетельства о заключении (расторжении) брака, об установлении отцовства, о перемене имени;</w:t>
      </w:r>
    </w:p>
    <w:p>
      <w:pPr>
        <w:pStyle w:val="Normal"/>
        <w:ind w:firstLine="540"/>
        <w:jc w:val="both"/>
        <w:rPr>
          <w:sz w:val="28"/>
          <w:szCs w:val="28"/>
          <w:lang w:eastAsia="en-US"/>
        </w:rPr>
      </w:pPr>
      <w:r>
        <w:rPr>
          <w:sz w:val="28"/>
          <w:szCs w:val="28"/>
          <w:lang w:eastAsia="en-US"/>
        </w:rPr>
        <w:t>б) сведения о регистрации членов семьи гражданина по месту жительства (месту пребывания) на территории Ульяновской области;</w:t>
      </w:r>
    </w:p>
    <w:p>
      <w:pPr>
        <w:pStyle w:val="Normal"/>
        <w:ind w:firstLine="540"/>
        <w:jc w:val="both"/>
        <w:rPr>
          <w:sz w:val="28"/>
          <w:szCs w:val="28"/>
          <w:lang w:eastAsia="en-US"/>
        </w:rPr>
      </w:pPr>
      <w:r>
        <w:rPr>
          <w:sz w:val="28"/>
          <w:szCs w:val="28"/>
          <w:lang w:eastAsia="en-US"/>
        </w:rPr>
        <w:t>3) документы, подтверждающие право пользования жилым помещением, занимаемым гражданином и членами его семьи (договор социального найма жилого помещения, договор найма жилого помещения жилищного фонда социального использования), либо правоустанавливающие документы на жилое помещение, занимаемое гражданином и членами его семьи;</w:t>
      </w:r>
    </w:p>
    <w:p>
      <w:pPr>
        <w:pStyle w:val="Normal"/>
        <w:ind w:firstLine="540"/>
        <w:jc w:val="both"/>
        <w:rPr>
          <w:sz w:val="28"/>
          <w:szCs w:val="28"/>
          <w:lang w:eastAsia="en-US"/>
        </w:rPr>
      </w:pPr>
      <w:r>
        <w:rPr>
          <w:sz w:val="28"/>
          <w:szCs w:val="28"/>
          <w:lang w:eastAsia="en-US"/>
        </w:rPr>
        <w:t xml:space="preserve">4) решение уполномоченного органа о признании гражданина и членов его семьи малоимущими в соответствии с </w:t>
      </w:r>
      <w:hyperlink r:id="rId11">
        <w:r>
          <w:rPr>
            <w:color w:themeColor="text1" w:val="000000"/>
            <w:sz w:val="28"/>
            <w:szCs w:val="28"/>
            <w:lang w:eastAsia="en-US"/>
          </w:rPr>
          <w:t>частью 2 статьи 49</w:t>
        </w:r>
      </w:hyperlink>
      <w:r>
        <w:rPr>
          <w:sz w:val="28"/>
          <w:szCs w:val="28"/>
          <w:lang w:eastAsia="en-US"/>
        </w:rPr>
        <w:t xml:space="preserve"> Жилищного кодекса Российской Федерации, если гражданин и члены его семьи признаны малоимущими в порядке, установленном </w:t>
      </w:r>
      <w:hyperlink r:id="rId12">
        <w:r>
          <w:rPr>
            <w:color w:themeColor="text1" w:val="000000"/>
            <w:sz w:val="28"/>
            <w:szCs w:val="28"/>
            <w:lang w:eastAsia="en-US"/>
          </w:rPr>
          <w:t>Законом</w:t>
        </w:r>
      </w:hyperlink>
      <w:r>
        <w:rPr>
          <w:sz w:val="28"/>
          <w:szCs w:val="28"/>
          <w:lang w:eastAsia="en-US"/>
        </w:rPr>
        <w:t xml:space="preserve"> Ульяновской области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p>
    <w:p>
      <w:pPr>
        <w:pStyle w:val="Normal"/>
        <w:ind w:firstLine="540"/>
        <w:jc w:val="both"/>
        <w:rPr>
          <w:sz w:val="28"/>
          <w:szCs w:val="28"/>
          <w:lang w:eastAsia="en-US"/>
        </w:rPr>
      </w:pPr>
      <w:r>
        <w:rPr>
          <w:sz w:val="28"/>
          <w:szCs w:val="28"/>
          <w:lang w:eastAsia="en-US"/>
        </w:rPr>
        <w:t>5) правоустанавливающие или правоудостоверяющие документы на иные объекты недвижимости, в том числе земельные участки, находящиеся в собственности гражданина и (или) членов его семьи;</w:t>
      </w:r>
    </w:p>
    <w:p>
      <w:pPr>
        <w:pStyle w:val="Normal"/>
        <w:ind w:firstLine="540"/>
        <w:jc w:val="both"/>
        <w:rPr>
          <w:sz w:val="28"/>
          <w:szCs w:val="28"/>
          <w:lang w:eastAsia="en-US"/>
        </w:rPr>
      </w:pPr>
      <w:r>
        <w:rPr>
          <w:sz w:val="28"/>
          <w:szCs w:val="28"/>
          <w:lang w:eastAsia="en-US"/>
        </w:rPr>
        <w:t xml:space="preserve">6) документ, подтверждающий несоответствие жилого помещения, в котором проживают гражданин и члены его семьи, требованиям к жилым помещениям, установленным </w:t>
      </w:r>
      <w:hyperlink r:id="rId13">
        <w:r>
          <w:rPr>
            <w:color w:themeColor="text1" w:val="000000"/>
            <w:sz w:val="28"/>
            <w:szCs w:val="28"/>
            <w:lang w:eastAsia="en-US"/>
          </w:rPr>
          <w:t>Положением</w:t>
        </w:r>
      </w:hyperlink>
      <w:r>
        <w:rPr>
          <w:sz w:val="28"/>
          <w:szCs w:val="28"/>
          <w:lang w:eastAsia="en-US"/>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Normal"/>
        <w:ind w:firstLine="540"/>
        <w:jc w:val="both"/>
        <w:rPr>
          <w:sz w:val="28"/>
          <w:szCs w:val="28"/>
          <w:lang w:eastAsia="en-US"/>
        </w:rPr>
      </w:pPr>
      <w:r>
        <w:rPr>
          <w:sz w:val="28"/>
          <w:szCs w:val="28"/>
          <w:lang w:eastAsia="en-US"/>
        </w:rPr>
        <w:t xml:space="preserve">7) документы, подтверждающие наличие установленного </w:t>
      </w:r>
      <w:hyperlink r:id="rId14">
        <w:r>
          <w:rPr>
            <w:color w:themeColor="text1" w:val="000000"/>
            <w:sz w:val="28"/>
            <w:szCs w:val="28"/>
            <w:lang w:eastAsia="en-US"/>
          </w:rPr>
          <w:t>пунктом 4 части 1 статьи 51</w:t>
        </w:r>
      </w:hyperlink>
      <w:r>
        <w:rPr>
          <w:sz w:val="28"/>
          <w:szCs w:val="28"/>
          <w:lang w:eastAsia="en-US"/>
        </w:rPr>
        <w:t xml:space="preserve"> Жилищного кодекса Российской Федерации основания для признания граждан нуждающимися в жилых помещениях, предоставляемых по договорам социального найма, если гражданин или член его семьи страдает тяжелой формой хронического заболевания, при которой совместное проживание с ним в одной квартире невозможно.</w:t>
      </w:r>
    </w:p>
    <w:p>
      <w:pPr>
        <w:pStyle w:val="Normal"/>
        <w:spacing w:before="280" w:after="0"/>
        <w:ind w:firstLine="540"/>
        <w:jc w:val="both"/>
        <w:rPr>
          <w:sz w:val="28"/>
          <w:szCs w:val="28"/>
          <w:lang w:eastAsia="en-US"/>
        </w:rPr>
      </w:pPr>
      <w:r>
        <w:rPr>
          <w:sz w:val="28"/>
          <w:szCs w:val="28"/>
          <w:lang w:eastAsia="en-US"/>
        </w:rPr>
        <w:t>Гражданин или его представитель вправе представить документы (сведения), указанные в настоящей части, по собственной инициативе.</w:t>
      </w:r>
    </w:p>
    <w:p>
      <w:pPr>
        <w:pStyle w:val="ConsPlusNormal"/>
        <w:spacing w:before="200" w:after="0"/>
        <w:ind w:firstLine="540"/>
        <w:jc w:val="both"/>
        <w:rPr>
          <w:rFonts w:ascii="Times New Roman" w:hAnsi="Times New Roman" w:cs="Times New Roman"/>
          <w:sz w:val="28"/>
          <w:szCs w:val="28"/>
        </w:rPr>
      </w:pPr>
      <w:r>
        <w:rPr>
          <w:rFonts w:cs="Times New Roman" w:ascii="Times New Roman" w:hAnsi="Times New Roman"/>
          <w:sz w:val="28"/>
          <w:szCs w:val="28"/>
        </w:rPr>
        <w:t>Документы, представляемые заявителем (законным представителем недееспособного заявителя) непосредственно в уполномоченный орган при его посещении или через ОГКУ «Правительство для граждан», должны быть представлены в подлинниках и копиях. Подлинники документов после их сверки с копиями возвращаются заявителю (законному представителю заявителя) работниками уполномоченного органа (ОГКУ «Правительство для граждан»).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2.7. Исчерпывающий перечень оснований для отказа в приеме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документов, необходимых для предоставления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Ульяновской области не предусмотрено.</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bookmarkStart w:id="2" w:name="Par140"/>
      <w:bookmarkEnd w:id="2"/>
      <w:r>
        <w:rPr>
          <w:rFonts w:cs="Times New Roman" w:ascii="Times New Roman" w:hAnsi="Times New Roman"/>
          <w:sz w:val="28"/>
          <w:szCs w:val="28"/>
        </w:rPr>
        <w:t>2.8. Исчерпывающий перечень оснований для приостановления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или отказа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pPr>
        <w:pStyle w:val="ConsPlusNormal"/>
        <w:ind w:firstLine="540"/>
        <w:jc w:val="both"/>
        <w:rPr>
          <w:rFonts w:ascii="Times New Roman" w:hAnsi="Times New Roman" w:cs="Times New Roman"/>
          <w:sz w:val="28"/>
          <w:szCs w:val="28"/>
        </w:rPr>
      </w:pPr>
      <w:bookmarkStart w:id="3" w:name="Par145"/>
      <w:bookmarkEnd w:id="3"/>
      <w:r>
        <w:rPr>
          <w:rFonts w:cs="Times New Roman" w:ascii="Times New Roman" w:hAnsi="Times New Roman"/>
          <w:sz w:val="28"/>
          <w:szCs w:val="28"/>
        </w:rPr>
        <w:t>2.8.2. Основаниями для отказа в предоставлении муниципальной услуги являются:</w:t>
      </w:r>
    </w:p>
    <w:p>
      <w:pPr>
        <w:pStyle w:val="Normal"/>
        <w:ind w:firstLine="540"/>
        <w:jc w:val="both"/>
        <w:rPr>
          <w:sz w:val="28"/>
          <w:szCs w:val="28"/>
          <w:lang w:eastAsia="en-US"/>
        </w:rPr>
      </w:pPr>
      <w:r>
        <w:rPr>
          <w:sz w:val="28"/>
          <w:szCs w:val="28"/>
          <w:lang w:eastAsia="en-US"/>
        </w:rPr>
        <w:t xml:space="preserve">Уполномоченный орган принимает решение об отказе в принятии гражданина на учет по основаниям, предусмотренным </w:t>
      </w:r>
      <w:hyperlink r:id="rId15">
        <w:r>
          <w:rPr>
            <w:color w:themeColor="text1" w:val="000000"/>
            <w:sz w:val="28"/>
            <w:szCs w:val="28"/>
            <w:lang w:eastAsia="en-US"/>
          </w:rPr>
          <w:t>частью 1 статьи 54</w:t>
        </w:r>
      </w:hyperlink>
      <w:r>
        <w:rPr>
          <w:sz w:val="28"/>
          <w:szCs w:val="28"/>
          <w:lang w:eastAsia="en-US"/>
        </w:rPr>
        <w:t xml:space="preserve"> Жилищного кодекса Российской Федерации.</w:t>
      </w:r>
    </w:p>
    <w:p>
      <w:pPr>
        <w:pStyle w:val="Normal"/>
        <w:ind w:firstLine="540"/>
        <w:jc w:val="both"/>
        <w:rPr>
          <w:sz w:val="28"/>
          <w:szCs w:val="28"/>
          <w:lang w:eastAsia="en-US"/>
        </w:rPr>
      </w:pPr>
      <w:r>
        <w:rPr>
          <w:sz w:val="28"/>
          <w:szCs w:val="28"/>
          <w:lang w:eastAsia="en-US"/>
        </w:rPr>
        <w:t xml:space="preserve">Решение об отказе в принятии на учет должно содержать основания такого отказа с обязательной ссылкой на нарушения, предусмотренные </w:t>
      </w:r>
      <w:hyperlink r:id="rId16">
        <w:r>
          <w:rPr>
            <w:color w:themeColor="text1" w:val="000000"/>
            <w:sz w:val="28"/>
            <w:szCs w:val="28"/>
            <w:lang w:eastAsia="en-US"/>
          </w:rPr>
          <w:t>частью 1 статьи 54</w:t>
        </w:r>
      </w:hyperlink>
      <w:r>
        <w:rPr>
          <w:sz w:val="28"/>
          <w:szCs w:val="28"/>
          <w:lang w:eastAsia="en-US"/>
        </w:rPr>
        <w:t xml:space="preserve"> Жилищного кодекса Российской Федерации, и в соответствии с </w:t>
      </w:r>
      <w:hyperlink r:id="rId17">
        <w:r>
          <w:rPr>
            <w:color w:themeColor="text1" w:val="000000"/>
            <w:sz w:val="28"/>
            <w:szCs w:val="28"/>
            <w:lang w:eastAsia="en-US"/>
          </w:rPr>
          <w:t>частью 3 статьи 54</w:t>
        </w:r>
      </w:hyperlink>
      <w:r>
        <w:rPr>
          <w:sz w:val="28"/>
          <w:szCs w:val="28"/>
          <w:lang w:eastAsia="en-US"/>
        </w:rPr>
        <w:t xml:space="preserve"> Жилищного кодекса Российской Федерации может быть обжаловано в установленном законодательством Российской Федерации порядке.</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2.9. Размер платы, взимаемой с заявителя при предоставлении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и способы ее взимания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2.10. Максимальный срок ожидания в очереди при подаче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запроса о предоставлении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при получении результата предоставления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2.11. Срок регистрации запроса заявителя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2.12. Требования к помещениям, в которых предоставляется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муниципальная услуга, к залу ожидания, местам для заполнения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запросов о предоставлении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информационным стендам с образцами их заполнения и перечнем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документов, необходимых для предоставления каждой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в том числе, к обеспечению доступности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для инвалидов указанных объектов в соответствии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с законодательством Российской Федерации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 социальной защите инвалидов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2.12.2. Кабинеты приема заявителей оборудованы информационными табличками (вывесками) с указанием: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номера кабинета;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фамилии, имени, отчества (последнее - при наличии) и должности специалиста, предоставляющего муниципальную услугу;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графика работы.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2.13. Показатели доступности и качества муниципальных услуг</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Показателями доступности и качества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 получения результата);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заявителя с должностными лицами уполномоченного при предоставлении муниципальной услуги составляет не более двух.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Продолжительность взаимодействия - не более 30 минут.</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2.14. Иные требования, в том числе учитывающие особенности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муниципальных услуг в многофункциональных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центрах и особенности предоставления муниципальных услуг</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электронной форме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Муниципальная услуга не предоставляется по экстерриториальному принципу.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Организации, предусмотренные </w:t>
      </w:r>
      <w:hyperlink r:id="rId18" w:tgtFrame="Федеральный закон от 27.07.2010 N 210-ФЗ (ред. от 02.07.2021) Об организации предоставления государственных и муниципальных услуг">
        <w:r>
          <w:rPr>
            <w:rFonts w:cs="Times New Roman" w:ascii="Times New Roman" w:hAnsi="Times New Roman"/>
            <w:color w:themeColor="text1" w:val="000000"/>
            <w:sz w:val="28"/>
            <w:szCs w:val="28"/>
          </w:rPr>
          <w:t>частью 1.1 статьи 16</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оценка качества предоставления муниципальной услуги в случае, если услуга предоставлена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подаче посредством Единого портала заявление подписывается простой электронной подписью.</w:t>
      </w:r>
    </w:p>
    <w:p>
      <w:pPr>
        <w:pStyle w:val="ConsPlusNormal"/>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 к порядку</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их выполнения, в том числе особенности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в электронной форме, а также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особенности выполнения административных процедур</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многофункциональном центре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3.1. Исчерпывающие перечни административных процедур</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3.1.1. Исчерпывающий перечень административных процедур предоставления муниципальной услуги в уполномоченном органе.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прием и регистрация заявления с необходимыми документами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формирование и направление межведомственных запросов;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принятие решения, подготовка, согласование и подписание результата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уведомление о готовности результата, выдача (направление) результата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3.1.2. Исчерпывающий перечень административных процедур при предоставлении муниципальной услуги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Единого портала;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получение заявителем сведений о ходе выполнения запроса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19" w:tgtFrame="Федеральный закон от 27.07.2010 N 210-ФЗ (ред. от 02.07.2021) Об организации предоставления государственных и муниципальных услуг">
        <w:r>
          <w:rPr>
            <w:rFonts w:cs="Times New Roman" w:ascii="Times New Roman" w:hAnsi="Times New Roman"/>
            <w:color w:themeColor="text1" w:val="000000"/>
            <w:sz w:val="28"/>
            <w:szCs w:val="28"/>
          </w:rPr>
          <w:t>частью 1 статьи 1</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не осуществляется;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иные действия, необходимые для предоставления муниципальной услуги: не осуществляются.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3.1.3. Исчерпывающий перечень административных процедур, выполняемых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иные процедуры: не осуществляются.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иные действия, необходимые для предоставления муниципальной услуги: не осуществляются.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3.1.4. Исчерпывающий перечень административных процедур, выполняемых при</w:t>
      </w:r>
      <w:r>
        <w:rPr/>
        <w:t xml:space="preserve"> </w:t>
      </w:r>
      <w:r>
        <w:rPr>
          <w:rFonts w:cs="Times New Roman" w:ascii="Times New Roman" w:hAnsi="Times New Roman"/>
          <w:sz w:val="28"/>
          <w:szCs w:val="28"/>
        </w:rPr>
        <w:t>исправлении допущенных опечаток и (или) ошибок в выданных в результате предоставления муниципальной услуги документах.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3.2. Порядок выполнения административных процедур</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уполномоченном органе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4" w:name="Par246"/>
      <w:bookmarkEnd w:id="4"/>
      <w:r>
        <w:rPr>
          <w:rFonts w:cs="Times New Roman" w:ascii="Times New Roman" w:hAnsi="Times New Roman"/>
          <w:sz w:val="28"/>
          <w:szCs w:val="28"/>
        </w:rPr>
        <w:t>3.2.1. Прием и регистрация заявления с необходимыми документами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Заявителям, подавшим соответствующее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Администрации, принимающий заявления, осуществляет первичную проверку документов заявителей: проверяет полномочия обратившегося(ихся) лица (лиц), изготавливает копии представленных оригиналов документов, либо сверяет копии предоставленных документов с подлинниками и передает их для регистрации в Отдел общественных коммуникаций.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Отдела общественных коммуникаций уполномоченного органа осуществляет регистрацию документов и передает их Руководителю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уполномоченного органа рассматривает документы, визирует и передает с поручениями специалисту Администрации для работы.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Результатом выполнения административной процедуры является регистрация заявления и приложенных к нему документов, рассмотрение заявления и приложенных документов и переход к административной процедуре по возврату заявления заявителям либо к административным процедурам, указанным в </w:t>
      </w:r>
      <w:hyperlink w:anchor="Par273" w:tgtFrame="3.2.3. Принятие решения, подготовка, согласование и подписание результата муниципальной услуги.">
        <w:r>
          <w:rPr>
            <w:rFonts w:cs="Times New Roman" w:ascii="Times New Roman" w:hAnsi="Times New Roman"/>
            <w:color w:themeColor="text1" w:val="000000"/>
            <w:sz w:val="28"/>
            <w:szCs w:val="28"/>
          </w:rPr>
          <w:t>подпунктах 3.2.3</w:t>
        </w:r>
      </w:hyperlink>
      <w:r>
        <w:rPr>
          <w:rFonts w:cs="Times New Roman" w:ascii="Times New Roman" w:hAnsi="Times New Roman"/>
          <w:color w:themeColor="text1" w:val="000000"/>
          <w:sz w:val="28"/>
          <w:szCs w:val="28"/>
        </w:rPr>
        <w:t xml:space="preserve"> - </w:t>
      </w:r>
      <w:hyperlink w:anchor="Par285" w:tgtFrame="3.2.4. Уведомление о готовности результата, выдача (направление) результата предоставления муниципальной услуги.">
        <w:r>
          <w:rPr>
            <w:rFonts w:cs="Times New Roman" w:ascii="Times New Roman" w:hAnsi="Times New Roman"/>
            <w:color w:themeColor="text1" w:val="000000"/>
            <w:sz w:val="28"/>
            <w:szCs w:val="28"/>
          </w:rPr>
          <w:t>3.2.4 пункта 3.2</w:t>
        </w:r>
      </w:hyperlink>
      <w:r>
        <w:rPr>
          <w:rFonts w:cs="Times New Roman" w:ascii="Times New Roman" w:hAnsi="Times New Roman"/>
          <w:sz w:val="28"/>
          <w:szCs w:val="28"/>
        </w:rPr>
        <w:t xml:space="preserve">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- 2 (два) рабочих дня со дня начала административной процедуры.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Способом фиксации результата выполнения административной процедуры является регистрация в установленном порядке сведений о приеме заявления, его регистрации и передаче для рассмотрения на следующий этап.</w:t>
      </w:r>
    </w:p>
    <w:p>
      <w:pPr>
        <w:pStyle w:val="ConsPlusNormal"/>
        <w:spacing w:before="200" w:after="0"/>
        <w:ind w:firstLine="540"/>
        <w:jc w:val="both"/>
        <w:rPr>
          <w:rFonts w:ascii="Times New Roman" w:hAnsi="Times New Roman" w:cs="Times New Roman"/>
          <w:sz w:val="28"/>
          <w:szCs w:val="28"/>
        </w:rPr>
      </w:pPr>
      <w:r>
        <w:rPr>
          <w:rFonts w:cs="Times New Roman" w:ascii="Times New Roman" w:hAnsi="Times New Roman"/>
          <w:sz w:val="28"/>
          <w:szCs w:val="28"/>
        </w:rPr>
        <w:t>3.2.2. Формирование и направление межведомственных запросов.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ar126" w:tgtFrame="11) Заявитель вправе представить следующие документы:">
        <w:r>
          <w:rPr>
            <w:rFonts w:cs="Times New Roman" w:ascii="Times New Roman" w:hAnsi="Times New Roman"/>
            <w:color w:themeColor="text1" w:val="000000"/>
            <w:sz w:val="28"/>
            <w:szCs w:val="28"/>
          </w:rPr>
          <w:t>подпункте 11 пункта 2.6</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наименование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наименование органа или организации, в адрес которых направляется межведомственный запрос;</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контактная информация для направления ответа на межведомственный запрос;</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дата направления межведомственного запроса;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информация о факте получения согласия (в случаях, предусмотренных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запрашиваемые документы (их копии или содержащиеся в них сведения) запрашиваемых сведений и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исполнения административной процедуры 5 рабочих дней со дня начала административной процедуры.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Способом фиксации результата выполнения административной процедуры является регистрация поступившего в уполномоченный орган запрашиваемых сведений и документов в рамках межведомственного электронного взаимодействия.</w:t>
      </w:r>
    </w:p>
    <w:p>
      <w:pPr>
        <w:pStyle w:val="ConsPlusNormal"/>
        <w:ind w:firstLine="540"/>
        <w:jc w:val="both"/>
        <w:rPr>
          <w:rFonts w:ascii="Times New Roman" w:hAnsi="Times New Roman" w:cs="Times New Roman"/>
          <w:sz w:val="28"/>
          <w:szCs w:val="28"/>
        </w:rPr>
      </w:pPr>
      <w:bookmarkStart w:id="5" w:name="Par273"/>
      <w:bookmarkEnd w:id="5"/>
      <w:r>
        <w:rPr>
          <w:rFonts w:cs="Times New Roman" w:ascii="Times New Roman" w:hAnsi="Times New Roman"/>
          <w:sz w:val="28"/>
          <w:szCs w:val="28"/>
        </w:rPr>
        <w:t>3.2.3. Принятие решения, подготовка, согласование и подписание результата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Юридическим фактом начала административной процедуры является наличие полного комплекта документов, необходимых для предоставления муниципальной услуги, указанных в </w:t>
      </w:r>
      <w:hyperlink w:anchor="Par108" w:tgtFrame="2.6. Исчерпывающий перечень документов, необходимых">
        <w:r>
          <w:rPr>
            <w:rFonts w:cs="Times New Roman" w:ascii="Times New Roman" w:hAnsi="Times New Roman"/>
            <w:color w:themeColor="text1" w:val="000000"/>
            <w:sz w:val="28"/>
            <w:szCs w:val="28"/>
          </w:rPr>
          <w:t>пункте 2.6</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Должностное лицо осуществляет проверку документов на предмет отсутствия или наличия основания для отказа в предоставлении муниципальной услуги в соответствии с</w:t>
      </w:r>
      <w:r>
        <w:rPr>
          <w:rFonts w:cs="Times New Roman" w:ascii="Times New Roman" w:hAnsi="Times New Roman"/>
          <w:color w:themeColor="text1" w:val="000000"/>
          <w:sz w:val="28"/>
          <w:szCs w:val="28"/>
        </w:rPr>
        <w:t xml:space="preserve"> </w:t>
      </w:r>
      <w:hyperlink w:anchor="Par145" w:tgtFrame="2.8.2. Основаниями для отказа в предоставлении муниципальной услуги являются:">
        <w:r>
          <w:rPr>
            <w:rFonts w:cs="Times New Roman" w:ascii="Times New Roman" w:hAnsi="Times New Roman"/>
            <w:color w:themeColor="text1" w:val="000000"/>
            <w:sz w:val="28"/>
            <w:szCs w:val="28"/>
          </w:rPr>
          <w:t>подпунктом 2.8.2 пункта 2.8</w:t>
        </w:r>
      </w:hyperlink>
      <w:r>
        <w:rPr>
          <w:rFonts w:cs="Times New Roman" w:ascii="Times New Roman" w:hAnsi="Times New Roman"/>
          <w:sz w:val="28"/>
          <w:szCs w:val="28"/>
        </w:rPr>
        <w:t xml:space="preserve"> настоящего административного регламента по результатам которой подготавливает соответствующее заключение.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отсутствия оснований для отказа в предоставлении муниципальной услуги, предусмотренных </w:t>
      </w:r>
      <w:hyperlink w:anchor="Par145" w:tgtFrame="2.8.2. Основаниями для отказа в предоставлении муниципальной услуги являются:">
        <w:r>
          <w:rPr>
            <w:rFonts w:cs="Times New Roman" w:ascii="Times New Roman" w:hAnsi="Times New Roman"/>
            <w:color w:themeColor="text1" w:val="000000"/>
            <w:sz w:val="28"/>
            <w:szCs w:val="28"/>
          </w:rPr>
          <w:t>подпунктом 2.8.2 пунктом 2.8</w:t>
        </w:r>
      </w:hyperlink>
      <w:r>
        <w:rPr>
          <w:rFonts w:cs="Times New Roman" w:ascii="Times New Roman" w:hAnsi="Times New Roman"/>
          <w:sz w:val="28"/>
          <w:szCs w:val="28"/>
        </w:rPr>
        <w:t xml:space="preserve"> настоящего административного регламента, должностное лицо готовит проект </w:t>
      </w:r>
      <w:hyperlink w:anchor="Par507" w:tgtFrame=" ПОСТАНОВЛЕНИЕ">
        <w:r>
          <w:rPr>
            <w:rFonts w:cs="Times New Roman" w:ascii="Times New Roman" w:hAnsi="Times New Roman"/>
            <w:color w:themeColor="text1" w:val="000000"/>
            <w:sz w:val="28"/>
            <w:szCs w:val="28"/>
          </w:rPr>
          <w:t>постановления</w:t>
        </w:r>
      </w:hyperlink>
      <w:r>
        <w:rPr>
          <w:rFonts w:cs="Times New Roman" w:ascii="Times New Roman" w:hAnsi="Times New Roman"/>
          <w:sz w:val="28"/>
          <w:szCs w:val="28"/>
        </w:rPr>
        <w:t xml:space="preserve"> по форме согласно приложению № 1 к настоящему административному регламенту.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наличия оснований для отказа в предоставлении муниципальной услуги, указанных в </w:t>
      </w:r>
      <w:hyperlink w:anchor="Par145" w:tgtFrame="2.8.2. Основаниями для отказа в предоставлении муниципальной услуги являются:">
        <w:r>
          <w:rPr>
            <w:rFonts w:cs="Times New Roman" w:ascii="Times New Roman" w:hAnsi="Times New Roman"/>
            <w:color w:themeColor="text1" w:val="000000"/>
            <w:sz w:val="28"/>
            <w:szCs w:val="28"/>
          </w:rPr>
          <w:t>подпункте 2.8.2 пункте 2.8</w:t>
        </w:r>
      </w:hyperlink>
      <w:r>
        <w:rPr>
          <w:rFonts w:cs="Times New Roman" w:ascii="Times New Roman" w:hAnsi="Times New Roman"/>
          <w:sz w:val="28"/>
          <w:szCs w:val="28"/>
        </w:rPr>
        <w:t xml:space="preserve"> настоящего административного регламента, должностное лицо осуществляет подготовку проекта </w:t>
      </w:r>
      <w:hyperlink w:anchor="Par546" w:tgtFrame=" ПОСТАНОВЛЕНИЕ">
        <w:r>
          <w:rPr>
            <w:rFonts w:cs="Times New Roman" w:ascii="Times New Roman" w:hAnsi="Times New Roman"/>
            <w:color w:themeColor="text1" w:val="000000"/>
            <w:sz w:val="28"/>
            <w:szCs w:val="28"/>
          </w:rPr>
          <w:t>постановления</w:t>
        </w:r>
      </w:hyperlink>
      <w:r>
        <w:rPr>
          <w:rFonts w:cs="Times New Roman" w:ascii="Times New Roman" w:hAnsi="Times New Roman"/>
          <w:sz w:val="28"/>
          <w:szCs w:val="28"/>
        </w:rPr>
        <w:t xml:space="preserve"> об отказе по форме согласно приложению № 2 к настоящему административному регламенту, с указанием причин отказа, являющихся основанием для принятия такого решения с обязательной ссылкой на нарушения, предусмотренные </w:t>
      </w:r>
      <w:hyperlink r:id="rId20" w:tgtFrame="&quot;Жилищный кодекс Российской Федерации">
        <w:r>
          <w:rPr>
            <w:rFonts w:cs="Times New Roman" w:ascii="Times New Roman" w:hAnsi="Times New Roman"/>
            <w:color w:themeColor="text1" w:val="000000"/>
            <w:sz w:val="28"/>
            <w:szCs w:val="28"/>
          </w:rPr>
          <w:t>частью 1 статьи 54</w:t>
        </w:r>
      </w:hyperlink>
      <w:r>
        <w:rPr>
          <w:rFonts w:cs="Times New Roman" w:ascii="Times New Roman" w:hAnsi="Times New Roman"/>
          <w:sz w:val="28"/>
          <w:szCs w:val="28"/>
        </w:rPr>
        <w:t xml:space="preserve"> Жилищного кодекса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После всех необходимых согласований с председателем Комитета по управлению муниципальным имуществом и земельным отношениям проект постановления о признании нуждающимся либо проект постановления об отказе представляется на подпись Руководителю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наличии замечаний согласовывающих лиц проект постановления либо проект постановления об отказе дорабатывается должностным лицом в течение 2 рабочих дней.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После всех необходимых согласований должностное лицо передает проект постановления, либо проект постановления об отказе на подпись Руководителю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уполномоченного органа подписывает проект постановления либо проект постановления об отказе, после чего передает на регистрацию в соответствии с инструкцией по делопроизводству.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подготовленное для выдачи постановление либо постановление об отказе.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составляет 10 рабочих дней со дня начала административной процедуры.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Способом фиксации результата выполнения административной процедуры является подписанное и зарегистрированное в установленном порядке постановление либо постановление об отказе.</w:t>
      </w:r>
    </w:p>
    <w:p>
      <w:pPr>
        <w:pStyle w:val="ConsPlusNormal"/>
        <w:ind w:firstLine="540"/>
        <w:jc w:val="both"/>
        <w:rPr>
          <w:rFonts w:ascii="Times New Roman" w:hAnsi="Times New Roman" w:cs="Times New Roman"/>
          <w:sz w:val="28"/>
          <w:szCs w:val="28"/>
        </w:rPr>
      </w:pPr>
      <w:bookmarkStart w:id="6" w:name="Par285"/>
      <w:bookmarkEnd w:id="6"/>
      <w:r>
        <w:rPr>
          <w:rFonts w:cs="Times New Roman" w:ascii="Times New Roman" w:hAnsi="Times New Roman"/>
          <w:sz w:val="28"/>
          <w:szCs w:val="28"/>
        </w:rPr>
        <w:t>3.2.4. Уведомление о готовности результата, выдача (направление) результата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подписанное и зарегистрированное постановление либо постановление об отказе.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Должностное лицо обеспечивает уведомление заявителя о готовности результата посредством телефонной связи по указанному контактному номеру в заявлении и приглашает его на выдачу результата, в случае, если данный способ получения результата предоставления муниципальной услуги был выбран заявителем.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Постановление либо постановление об отказе не позднее чем через 3 рабочих дня со дня его принятия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Результатом выполнения административной процедуры является выдача (направление) результата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составляет 3 рабочих дня со дня подписания и регистрации постановления либо постановления об отказе.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Способом фиксации результата выполнения административной процедуры является отметка отделения почтовой связи об отправке документа либо отметка заявителя о получении постановления либо об отказе в получении.</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3.3. Порядок осуществления в электронной форме, в том числе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с использованием Единого портала, административных процедур</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в соответствии с положениями </w:t>
      </w:r>
      <w:hyperlink r:id="rId21" w:tgtFrame="Федеральный закон от 27.07.2010 N 210-ФЗ (ред. от 02.07.2021) Об организации предоставления государственных и муниципальных услуг">
        <w:r>
          <w:rPr>
            <w:rFonts w:cs="Times New Roman" w:ascii="Times New Roman" w:hAnsi="Times New Roman"/>
            <w:color w:themeColor="text1" w:val="000000"/>
            <w:sz w:val="28"/>
            <w:szCs w:val="28"/>
          </w:rPr>
          <w:t>статьи 10</w:t>
        </w:r>
      </w:hyperlink>
      <w:r>
        <w:rPr>
          <w:rFonts w:cs="Times New Roman" w:ascii="Times New Roman" w:hAnsi="Times New Roman"/>
          <w:sz w:val="28"/>
          <w:szCs w:val="28"/>
        </w:rPr>
        <w:t xml:space="preserve"> Федерального закона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от 27.07.2010 № 210-ФЗ «Об организации предоставления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государственных и муниципальных услуг», а именно:</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r:id="rId22" w:anchor="Par58" w:tgtFram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w:r>
          <w:rPr>
            <w:rFonts w:cs="Times New Roman" w:ascii="Times New Roman" w:hAnsi="Times New Roman"/>
            <w:color w:themeColor="text1" w:val="000000"/>
            <w:sz w:val="28"/>
            <w:szCs w:val="28"/>
          </w:rPr>
          <w:t>подпунктом 1.3.1 пункта 1.3</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Единого портала.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подать заявление, подписанное простой электронной подписью, в форме электронного документа через Единый портал.</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5 рабочих дней с даты направления заявления обязан представить документы, указанные в </w:t>
      </w:r>
      <w:hyperlink w:anchor="Par113" w:tgtFrame="1) Заявление по форме;">
        <w:r>
          <w:rPr>
            <w:rFonts w:cs="Times New Roman" w:ascii="Times New Roman" w:hAnsi="Times New Roman"/>
            <w:color w:themeColor="text1" w:val="000000"/>
            <w:sz w:val="28"/>
            <w:szCs w:val="28"/>
          </w:rPr>
          <w:t>подпунктах 1</w:t>
        </w:r>
      </w:hyperlink>
      <w:r>
        <w:rPr>
          <w:rFonts w:cs="Times New Roman" w:ascii="Times New Roman" w:hAnsi="Times New Roman"/>
          <w:color w:themeColor="text1" w:val="000000"/>
          <w:sz w:val="28"/>
          <w:szCs w:val="28"/>
        </w:rPr>
        <w:t xml:space="preserve"> - </w:t>
      </w:r>
      <w:hyperlink w:anchor="Par125" w:tgtFrame="10) Документы, подтверждающие наличие установленного пунктом 4 части 1 статьи 51 Жилищного кодекса Российской Федерации основания для признания граждан нуждающимися в жилых помещениях, предоставляемых по договорам социального найма, если заявитель или член его">
        <w:r>
          <w:rPr>
            <w:rFonts w:cs="Times New Roman" w:ascii="Times New Roman" w:hAnsi="Times New Roman"/>
            <w:color w:themeColor="text1" w:val="000000"/>
            <w:sz w:val="28"/>
            <w:szCs w:val="28"/>
          </w:rPr>
          <w:t>10 пункта 2.6</w:t>
        </w:r>
      </w:hyperlink>
      <w:r>
        <w:rPr>
          <w:rFonts w:cs="Times New Roman" w:ascii="Times New Roman" w:hAnsi="Times New Roman"/>
          <w:sz w:val="28"/>
          <w:szCs w:val="28"/>
        </w:rPr>
        <w:t xml:space="preserve"> настоящего административного регламента, в уполномоченный орган.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Представление документов на бумажном носителе не требуется в случае, если документы, указанные в </w:t>
      </w:r>
      <w:hyperlink w:anchor="Par113" w:tgtFrame="1) Заявление по форме;">
        <w:r>
          <w:rPr>
            <w:rFonts w:cs="Times New Roman" w:ascii="Times New Roman" w:hAnsi="Times New Roman"/>
            <w:color w:themeColor="text1" w:val="000000"/>
            <w:sz w:val="28"/>
            <w:szCs w:val="28"/>
          </w:rPr>
          <w:t>подпунктах 1</w:t>
        </w:r>
      </w:hyperlink>
      <w:r>
        <w:rPr>
          <w:rFonts w:cs="Times New Roman" w:ascii="Times New Roman" w:hAnsi="Times New Roman"/>
          <w:color w:themeColor="text1" w:val="000000"/>
          <w:sz w:val="28"/>
          <w:szCs w:val="28"/>
        </w:rPr>
        <w:t xml:space="preserve"> - </w:t>
      </w:r>
      <w:hyperlink w:anchor="Par125" w:tgtFrame="10) Документы, подтверждающие наличие установленного пунктом 4 части 1 статьи 51 Жилищного кодекса Российской Федерации основания для признания граждан нуждающимися в жилых помещениях, предоставляемых по договорам социального найма, если заявитель или член его">
        <w:r>
          <w:rPr>
            <w:rFonts w:cs="Times New Roman" w:ascii="Times New Roman" w:hAnsi="Times New Roman"/>
            <w:color w:themeColor="text1" w:val="000000"/>
            <w:sz w:val="28"/>
            <w:szCs w:val="28"/>
          </w:rPr>
          <w:t>10 пункта 2.6</w:t>
        </w:r>
      </w:hyperlink>
      <w:r>
        <w:rPr>
          <w:rFonts w:cs="Times New Roman" w:ascii="Times New Roman" w:hAnsi="Times New Roman"/>
          <w:sz w:val="28"/>
          <w:szCs w:val="28"/>
        </w:rPr>
        <w:t xml:space="preserve"> настоящего административного регламента, были предоставлены в электронной форме в момент подачи заявления.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направляемые в электронной форме, должны соответствовать следующим требованиям: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Документы направляются в виде отдельных файлов в формате doc, docx, odt, pdf, tiff, jpeg (jpg), xls, xlsx.</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Количество файлов должно соответствовать количеству документов, а наименование файла должно позволять идентифицировать документ.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3.3.3. Получение заявителем сведений о ходе выполнения запроса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3.3.4. Получение заявителем результата предоставления муниципальной услуги, если иное не установлено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3.4. Порядок выполнения административных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процедур ОГКУ «Правительство для граждан»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порядке предоставления муниципальной услуги осуществляется путем: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личного обращения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справочному телефону.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Информацию о ходе выполнения запроса заявитель может получить лично или по справочному телефону (8422) 37-31-31.</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заявления и документов в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Заявителю, подавшему заявление о предоставлении ему муниципальной услуги, выдается расписка (опись) в получении заявления и прилагаемых к нему документов с указанием их перечня, даты и времени получения.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Уполномоченный орган обеспечивает регистрацию заявления, принятого от ОГКУ «Правительство для граждан» в день поступления.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полученное от уполномоченного органа подписанное постановление либо постановление об отказе.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ОГКУ «Правительство для граждан» обеспечивает хранение полученных от подведомственного учреждения документов, предназначенных для выдачи заявителю (представителю заявителя) в течение 30 календарных дней со дня получения таких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3.5. Порядок исправления допущенных опечаток</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(или) ошибок в выданных в результате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документах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обращении за исправлением опечаток и (или) ошибок заявитель представляет: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об исправлении опечаток и (или) ошибок;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имеющие юридическую силу содержащие правильные данные;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выданный уполномоченным органом документ, в котором содержатся допущенные опечатки и (или) ошибки.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об исправлении опечаток и (или) ошибок и документ, в котором содержатся опечатки и (или) ошибки, представляются следующими способами: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лично (заявителем представляются оригиналы документов с опечатками и (или) ошибками, специалистом делаются копии этих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через организацию почтовой связи (заявителем направляются копии документов с опечатками и (или) ошибками).</w:t>
      </w:r>
    </w:p>
    <w:p>
      <w:pPr>
        <w:pStyle w:val="ConsPlusNormal"/>
        <w:ind w:firstLine="540"/>
        <w:jc w:val="both"/>
        <w:rPr>
          <w:rFonts w:ascii="Times New Roman" w:hAnsi="Times New Roman" w:cs="Times New Roman"/>
          <w:color w:themeColor="text1" w:val="000000"/>
          <w:sz w:val="28"/>
          <w:szCs w:val="28"/>
        </w:rPr>
      </w:pPr>
      <w:r>
        <w:rPr>
          <w:rFonts w:cs="Times New Roman" w:ascii="Times New Roman" w:hAnsi="Times New Roman"/>
          <w:sz w:val="28"/>
          <w:szCs w:val="28"/>
        </w:rPr>
        <w:t xml:space="preserve">Прием и регистрация заявления об исправлении опечаток и (или) ошибок осуществляется в соответствии с </w:t>
      </w:r>
      <w:hyperlink w:anchor="Par246" w:tgtFrame="3.2.1. Прием и регистрация заявления с необходимыми документами для предоставления муниципальной услуги.">
        <w:r>
          <w:rPr>
            <w:rFonts w:cs="Times New Roman" w:ascii="Times New Roman" w:hAnsi="Times New Roman"/>
            <w:color w:themeColor="text1" w:val="000000"/>
            <w:sz w:val="28"/>
            <w:szCs w:val="28"/>
          </w:rPr>
          <w:t>подпунктом 3.2.1 пункта 3.2</w:t>
        </w:r>
      </w:hyperlink>
      <w:r>
        <w:rPr>
          <w:rFonts w:cs="Times New Roman" w:ascii="Times New Roman" w:hAnsi="Times New Roman"/>
          <w:color w:themeColor="text1" w:val="000000"/>
          <w:sz w:val="28"/>
          <w:szCs w:val="28"/>
        </w:rPr>
        <w:t xml:space="preserve">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составляет 1 (один) рабочий день.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3.5.2. Рассмотрение поступившего заявления об исправлении опечаток и (или) ошибок, уведомление о готовности документа, подписание и выдача нового исправленного документа.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об исправлении опечаток и (или) ошибок с визой Руководителя уполномоченного органа передается на исполнение специалисту.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рассматривает заявление об исправлении опечаток и (или) ошибок и прилагаемые документы и приступает к подготовке проекта постановления о внесении изменений в постановление о признании нуждающимся либо в постановление об отказе.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изменение содержания документов, являющихся результатом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Оформление проекта постановления о внесении изменений в постановление о признании нуждающимся либо в постановление об отказе осуществляется в порядке, установленном в </w:t>
      </w:r>
      <w:hyperlink w:anchor="Par285" w:tgtFrame="3.2.4. Уведомление о готовности результата, выдача (направление) результата предоставления муниципальной услуги.">
        <w:r>
          <w:rPr>
            <w:rFonts w:cs="Times New Roman" w:ascii="Times New Roman" w:hAnsi="Times New Roman"/>
            <w:color w:themeColor="text1" w:val="000000"/>
            <w:sz w:val="28"/>
            <w:szCs w:val="28"/>
          </w:rPr>
          <w:t>подпункте 3.2.4 пункта 3.2</w:t>
        </w:r>
      </w:hyperlink>
      <w:r>
        <w:rPr>
          <w:rFonts w:cs="Times New Roman" w:ascii="Times New Roman" w:hAnsi="Times New Roman"/>
          <w:color w:themeColor="text1" w:val="000000"/>
          <w:sz w:val="28"/>
          <w:szCs w:val="28"/>
        </w:rPr>
        <w:t xml:space="preserve"> </w:t>
      </w:r>
      <w:r>
        <w:rPr>
          <w:rFonts w:cs="Times New Roman" w:ascii="Times New Roman" w:hAnsi="Times New Roman"/>
          <w:sz w:val="28"/>
          <w:szCs w:val="28"/>
        </w:rPr>
        <w:t>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составляет - 4 (четыре) рабочих дня.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Результатом выполнения административной процедуры является подготовленное для выдачи (направления) постановление о внесении изменений в постановление о признании нуждающимся либо в постановление об отказе.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Выдача заявителю постановления о внесении изменений в постановление о признании нуждающимся либо в постановление об отказе осуществляется в течение 1 (одного) рабочего дня.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
    <w:p>
      <w:pPr>
        <w:pStyle w:val="ConsPlusNormal"/>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4. Формы контроля за исполнением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административного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исполнением ответственными должностными лицами,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муниципальными служащими положений административного</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регламента и иных нормативных правовых актов,</w:t>
      </w:r>
    </w:p>
    <w:p>
      <w:pPr>
        <w:pStyle w:val="ConsPlusTitle"/>
        <w:jc w:val="center"/>
        <w:rPr>
          <w:rFonts w:ascii="Times New Roman" w:hAnsi="Times New Roman" w:cs="Times New Roman"/>
          <w:sz w:val="28"/>
          <w:szCs w:val="28"/>
        </w:rPr>
      </w:pPr>
      <w:r>
        <w:rPr>
          <w:rFonts w:cs="Times New Roman" w:ascii="Times New Roman" w:hAnsi="Times New Roman"/>
          <w:sz w:val="28"/>
          <w:szCs w:val="28"/>
        </w:rPr>
        <w:t>устанавливающих требования к предоставлению муниципальной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услуги, а также принятием решений ответственными лицами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внеплановых проверок полноты и качества предоставления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в том числе порядок и формы контроля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 полнотой и качеством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4.2.2. Проверки могут быть плановыми и внеплановыми.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проводятся на основании планов работы структурного подразделения уполномоченного органа с периодичностью 1 раз в год.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муниципальных служащих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 решения и действия (бездействие), принимаемые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(осуществляемые) в ходе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23" w:tgtFrame="Закон Ульяновской области от 28.02.2011 N 16-ЗО (ред. от 03.03.2022) Кодекс Ульяновской области об административных правонарушениях">
        <w:r>
          <w:rPr>
            <w:rFonts w:cs="Times New Roman" w:ascii="Times New Roman" w:hAnsi="Times New Roman"/>
            <w:color w:themeColor="text1" w:val="000000"/>
            <w:sz w:val="28"/>
            <w:szCs w:val="28"/>
          </w:rPr>
          <w:t>статьей 25</w:t>
        </w:r>
      </w:hyperlink>
      <w:r>
        <w:rPr>
          <w:rFonts w:cs="Times New Roman" w:ascii="Times New Roman" w:hAnsi="Times New Roman"/>
          <w:sz w:val="28"/>
          <w:szCs w:val="28"/>
        </w:rPr>
        <w:t xml:space="preserve"> Кодекса Ульяновской области об административных правонарушениях.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4.4. Положения, характеризующие требования к порядку</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формам контроля за предоставлением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том числе со стороны граждан, их объединений и организаций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муниципального образования «Город Новоульяновск»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ConsPlusNormal"/>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действий (бездействия) уполномоченного органа,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многофункционального центра, организаций, осуществляющих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функции по предоставлению муниципальных услуг, а также их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должностных лиц, муниципальных служащих, работников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bookmarkStart w:id="7" w:name="Par411"/>
      <w:bookmarkEnd w:id="7"/>
      <w:r>
        <w:rPr>
          <w:rFonts w:cs="Times New Roman" w:ascii="Times New Roman" w:hAnsi="Times New Roman"/>
          <w:sz w:val="28"/>
          <w:szCs w:val="28"/>
        </w:rPr>
        <w:t>5.1. Информация для заявителя о его праве подать жалобу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5.2. Предмет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следующих случаях: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5.3. Органы местного самоуправления, организации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уполномоченные на рассмотрение жалобы лица, которым может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быть направлена жалоба заявителя в досудебном порядке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Заявители могут обратиться с жалобой в уполномоченный орган,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в собственность бесплатно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w:t>
      </w:r>
      <w:hyperlink r:id="rId24" w:tgtFrame="&quot;Градостроительный кодекс Российской Федерации">
        <w:r>
          <w:rPr>
            <w:rFonts w:cs="Times New Roman" w:ascii="Times New Roman" w:hAnsi="Times New Roman"/>
            <w:color w:themeColor="text1" w:val="000000"/>
            <w:sz w:val="28"/>
            <w:szCs w:val="28"/>
          </w:rPr>
          <w:t>частью 2 статьи 6</w:t>
        </w:r>
      </w:hyperlink>
      <w:r>
        <w:rPr>
          <w:rFonts w:cs="Times New Roman" w:ascii="Times New Roman" w:hAnsi="Times New Roman"/>
          <w:sz w:val="28"/>
          <w:szCs w:val="28"/>
        </w:rPr>
        <w:t xml:space="preserve"> Градостроительного кодекса Российской Федерации.</w:t>
      </w:r>
    </w:p>
    <w:p>
      <w:pPr>
        <w:pStyle w:val="ConsPlusNormal"/>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5.4. Порядок подачи и рассмотрения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подается в уполномоченный орган, ОГКУ «Правительство для граждан» в письменной форме на бумажном носителе или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должна содержать: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5.5. Сроки рассмотрения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поступившая в уполномоченный орган, ОГКУ «Правительство для граждан», подлежит рассмотрению в течение 15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5.6. Результат рассмотрения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жалобы уполномоченным органом,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ОГКУ «Правительство для граждан» принимается одно из следующих решений: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5.7. Порядок информирования заявителя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 результатах рассмотрения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5.8. Порядок обжалования решения по жалобе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5.9. Право заявителя на получение информации и документов,</w:t>
      </w:r>
    </w:p>
    <w:p>
      <w:pPr>
        <w:pStyle w:val="ConsPlusTitle"/>
        <w:jc w:val="center"/>
        <w:rPr>
          <w:rFonts w:ascii="Times New Roman" w:hAnsi="Times New Roman" w:cs="Times New Roman"/>
          <w:sz w:val="28"/>
          <w:szCs w:val="28"/>
        </w:rPr>
      </w:pPr>
      <w:r>
        <w:rPr>
          <w:rFonts w:cs="Times New Roman" w:ascii="Times New Roman" w:hAnsi="Times New Roman"/>
          <w:sz w:val="28"/>
          <w:szCs w:val="28"/>
        </w:rPr>
        <w:t>необходимых для обоснования и рассмотрения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bookmarkStart w:id="8" w:name="Par488"/>
      <w:bookmarkEnd w:id="8"/>
      <w:r>
        <w:rPr>
          <w:rFonts w:cs="Times New Roman" w:ascii="Times New Roman" w:hAnsi="Times New Roman"/>
          <w:sz w:val="28"/>
          <w:szCs w:val="28"/>
        </w:rPr>
        <w:t>5.10. Способы информирования заявителей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 порядке подачи и рассмотрения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Информацию о порядке подачи и рассмотрения жалобы можно получить: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Едином портале.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Информация, указанная в </w:t>
      </w:r>
      <w:hyperlink w:anchor="Par411" w:tgtFrame="5.1. Информация для заявителя о его праве подать жалобу">
        <w:r>
          <w:rPr>
            <w:rFonts w:cs="Times New Roman" w:ascii="Times New Roman" w:hAnsi="Times New Roman"/>
            <w:color w:themeColor="text1" w:val="000000"/>
            <w:sz w:val="28"/>
            <w:szCs w:val="28"/>
          </w:rPr>
          <w:t>пунктах 5.1</w:t>
        </w:r>
      </w:hyperlink>
      <w:r>
        <w:rPr>
          <w:rFonts w:cs="Times New Roman" w:ascii="Times New Roman" w:hAnsi="Times New Roman"/>
          <w:color w:themeColor="text1" w:val="000000"/>
          <w:sz w:val="28"/>
          <w:szCs w:val="28"/>
        </w:rPr>
        <w:t xml:space="preserve"> - </w:t>
      </w:r>
      <w:hyperlink w:anchor="Par488" w:tgtFrame="5.10. Способы информирования заявителей">
        <w:r>
          <w:rPr>
            <w:rFonts w:cs="Times New Roman" w:ascii="Times New Roman" w:hAnsi="Times New Roman"/>
            <w:color w:themeColor="text1" w:val="000000"/>
            <w:sz w:val="28"/>
            <w:szCs w:val="28"/>
          </w:rPr>
          <w:t>5.10</w:t>
        </w:r>
      </w:hyperlink>
      <w:r>
        <w:rPr>
          <w:rFonts w:cs="Times New Roman" w:ascii="Times New Roman" w:hAnsi="Times New Roman"/>
          <w:sz w:val="28"/>
          <w:szCs w:val="28"/>
        </w:rPr>
        <w:t xml:space="preserve"> настоящего административного регламента, размещена на официальном сайте уполномоченного органа, Едином портале.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sectPr>
          <w:headerReference w:type="default" r:id="rId25"/>
          <w:type w:val="nextPage"/>
          <w:pgSz w:w="11906" w:h="16838"/>
          <w:pgMar w:left="1701" w:right="850" w:gutter="0" w:header="708" w:top="1134" w:footer="0" w:bottom="1134"/>
          <w:pgNumType w:start="1" w:fmt="decimal"/>
          <w:formProt w:val="false"/>
          <w:titlePg/>
          <w:textDirection w:val="lrTb"/>
          <w:docGrid w:type="default" w:linePitch="360" w:charSpace="0"/>
        </w:sect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1</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«Город Новоульяновск» Ульяновской области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9" w:name="Par507"/>
      <w:bookmarkEnd w:id="9"/>
      <w:r>
        <w:rPr>
          <w:rFonts w:cs="Times New Roman" w:ascii="Times New Roman" w:hAnsi="Times New Roman"/>
          <w:sz w:val="28"/>
          <w:szCs w:val="28"/>
        </w:rPr>
        <w:t>ПОСТАНОВЛЕНИЕ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 г.                                                              № 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Экз. № 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 принятии _________________________ и членов его семьи на учет</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инициалы)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качестве нуждающихся в жилом помещении, предоставляемом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договору социального найма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соответствии с пунктом ______ </w:t>
      </w:r>
      <w:hyperlink r:id="rId26" w:tgtFrame="&quot;Жилищный кодекс Российской Федерации">
        <w:r>
          <w:rPr>
            <w:rFonts w:cs="Times New Roman" w:ascii="Times New Roman" w:hAnsi="Times New Roman"/>
            <w:color w:themeColor="text1" w:val="000000"/>
            <w:sz w:val="28"/>
            <w:szCs w:val="28"/>
          </w:rPr>
          <w:t>части 1 статьи 51</w:t>
        </w:r>
      </w:hyperlink>
      <w:r>
        <w:rPr>
          <w:rFonts w:cs="Times New Roman" w:ascii="Times New Roman" w:hAnsi="Times New Roman"/>
          <w:color w:themeColor="text1" w:val="000000"/>
          <w:sz w:val="28"/>
          <w:szCs w:val="28"/>
        </w:rPr>
        <w:t xml:space="preserve"> и </w:t>
      </w:r>
      <w:hyperlink r:id="rId27" w:tgtFrame="&quot;Жилищный кодекс Российской Федерации">
        <w:r>
          <w:rPr>
            <w:rFonts w:cs="Times New Roman" w:ascii="Times New Roman" w:hAnsi="Times New Roman"/>
            <w:color w:themeColor="text1" w:val="000000"/>
            <w:sz w:val="28"/>
            <w:szCs w:val="28"/>
          </w:rPr>
          <w:t>частью 2 статьи 52</w:t>
        </w:r>
      </w:hyperlink>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Жилищного   кодекса   Российской  Федерации,  </w:t>
      </w:r>
      <w:hyperlink r:id="rId28" w:tgtFrame="Закон Ульяновской области от 06.05.2006 N 49-ЗО (ред. от 20.12.2021) 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 предоставляемых по договорам социаль">
        <w:r>
          <w:rPr>
            <w:rFonts w:cs="Times New Roman" w:ascii="Times New Roman" w:hAnsi="Times New Roman"/>
            <w:color w:themeColor="text1" w:val="000000"/>
            <w:sz w:val="28"/>
            <w:szCs w:val="28"/>
          </w:rPr>
          <w:t>Законом</w:t>
        </w:r>
      </w:hyperlink>
      <w:r>
        <w:rPr>
          <w:rFonts w:cs="Times New Roman" w:ascii="Times New Roman" w:hAnsi="Times New Roman"/>
          <w:color w:themeColor="text1" w:val="000000"/>
          <w:sz w:val="28"/>
          <w:szCs w:val="28"/>
        </w:rPr>
        <w:t xml:space="preserve"> </w:t>
      </w:r>
      <w:r>
        <w:rPr>
          <w:rFonts w:cs="Times New Roman" w:ascii="Times New Roman" w:hAnsi="Times New Roman"/>
          <w:sz w:val="28"/>
          <w:szCs w:val="28"/>
        </w:rPr>
        <w:t xml:space="preserve"> Ульяновской  области от  06.05.2006  № 49-ЗО «О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 предоставляемых по договорам социального найма» Администрация муниципального образования «Город Новоульяновск» Ульяновской области постановляет:</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Принять _______________________________________________ и членов 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(при наличии))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семьи: _____________________________________ на учет в качестве нуждающихся в  жилом  помещении,  предоставляемом  по  договору  социального  найма.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Настоящее постановление вступает в силу с момента его подписания.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Контроль за исполнением настоящего постановления возложить на Первого Заместителя Главы Администрации муниципального образования «Город Новоульяновск» Ульяновской области.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Глава Администрации            ________________ 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(расшифровка подписи)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29"/>
          <w:headerReference w:type="first" r:id="rId30"/>
          <w:type w:val="nextPage"/>
          <w:pgSz w:w="11906" w:h="16838"/>
          <w:pgMar w:left="1701" w:right="850" w:gutter="0" w:header="0" w:top="1134" w:footer="0" w:bottom="1134"/>
          <w:pgNumType w:start="1" w:fmt="decimal"/>
          <w:formProt w:val="false"/>
          <w:textDirection w:val="lrTb"/>
          <w:docGrid w:type="default" w:linePitch="360" w:charSpace="0"/>
        </w:sect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2</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«Город Новоульяновск» Ульяновской области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 г.                                                              № 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Экз. № 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 отказе в принятии ____________________ и членов его семьи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инициалы)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учет в качестве нуждающихся в жилом помещении, предоставляемом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договору социального найма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color w:themeColor="text1"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связи с ________________________________________________ (указываются основания,  предусмотренные  </w:t>
      </w:r>
      <w:hyperlink w:anchor="Par140" w:tgtFrame="2.8. Исчерпывающий перечень оснований для приостановления">
        <w:r>
          <w:rPr>
            <w:rFonts w:cs="Times New Roman" w:ascii="Times New Roman" w:hAnsi="Times New Roman"/>
            <w:color w:themeColor="text1" w:val="000000"/>
            <w:sz w:val="28"/>
            <w:szCs w:val="28"/>
          </w:rPr>
          <w:t>пунктом  2.8</w:t>
        </w:r>
      </w:hyperlink>
      <w:r>
        <w:rPr>
          <w:rFonts w:cs="Times New Roman" w:ascii="Times New Roman" w:hAnsi="Times New Roman"/>
          <w:color w:themeColor="text1" w:val="000000"/>
          <w:sz w:val="28"/>
          <w:szCs w:val="28"/>
        </w:rPr>
        <w:t xml:space="preserve"> административного регламента), на </w:t>
      </w:r>
      <w:r>
        <w:rPr>
          <w:rFonts w:cs="Times New Roman" w:ascii="Times New Roman" w:hAnsi="Times New Roman"/>
          <w:sz w:val="28"/>
          <w:szCs w:val="28"/>
        </w:rPr>
        <w:t xml:space="preserve">основании  пункта  ______  </w:t>
      </w:r>
      <w:hyperlink r:id="rId31" w:tgtFrame="&quot;Жилищный кодекс Российской Федерации">
        <w:r>
          <w:rPr>
            <w:rFonts w:cs="Times New Roman" w:ascii="Times New Roman" w:hAnsi="Times New Roman"/>
            <w:color w:themeColor="text1" w:val="000000"/>
            <w:sz w:val="28"/>
            <w:szCs w:val="28"/>
          </w:rPr>
          <w:t>части  1  статьи 54</w:t>
        </w:r>
      </w:hyperlink>
      <w:r>
        <w:rPr>
          <w:rFonts w:cs="Times New Roman" w:ascii="Times New Roman" w:hAnsi="Times New Roman"/>
          <w:sz w:val="28"/>
          <w:szCs w:val="28"/>
        </w:rPr>
        <w:t xml:space="preserve"> Жилищного кодекса Российской</w:t>
      </w:r>
      <w:r>
        <w:rPr>
          <w:rFonts w:cs="Times New Roman" w:ascii="Times New Roman" w:hAnsi="Times New Roman"/>
          <w:color w:themeColor="text1" w:val="000000"/>
          <w:sz w:val="28"/>
          <w:szCs w:val="28"/>
        </w:rPr>
        <w:t xml:space="preserve"> </w:t>
      </w:r>
      <w:r>
        <w:rPr>
          <w:rFonts w:cs="Times New Roman" w:ascii="Times New Roman" w:hAnsi="Times New Roman"/>
          <w:sz w:val="28"/>
          <w:szCs w:val="28"/>
        </w:rPr>
        <w:t>Федерации Администрация муниципального образования «Город Новоульяновск» Ульяновской области постановляет:</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Отказать ______________________________________________ и членам 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(при наличии))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семьи: ______________________________________ в принятии на учет в качестве нуждающихся  в  жилом  помещении,  предоставляемом  по договору социального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найма.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Настоящее постановление вступает в силу с момента его подписания.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Контроль за исполнением настоящего постановления возложить на Первого Заместителя Главы Администрации муниципального образования «Город Новоульяновск» Ульяновской области.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Глава администрации            ________________ 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(расшифровка подписи)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pBdr>
          <w:top w:val="single" w:sz="6" w:space="0" w:color="000000"/>
        </w:pBdr>
        <w:spacing w:before="100" w:after="100"/>
        <w:jc w:val="both"/>
        <w:rPr>
          <w:sz w:val="2"/>
          <w:szCs w:val="2"/>
        </w:rPr>
      </w:pPr>
      <w:r>
        <w:rPr>
          <w:sz w:val="2"/>
          <w:szCs w:val="2"/>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bookmarkStart w:id="10" w:name="_GoBack"/>
      <w:bookmarkStart w:id="11" w:name="_GoBack"/>
      <w:bookmarkEnd w:id="11"/>
    </w:p>
    <w:sectPr>
      <w:headerReference w:type="default" r:id="rId32"/>
      <w:type w:val="nextPage"/>
      <w:pgSz w:w="11906" w:h="16838"/>
      <w:pgMar w:left="1701" w:right="850" w:gutter="0" w:header="708" w:top="1134" w:footer="0"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Tahoma">
    <w:charset w:val="01"/>
    <w:family w:val="roman"/>
    <w:pitch w:val="default"/>
  </w:font>
  <w:font w:name="Arial">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67912323"/>
    </w:sdtPr>
    <w:sdtContent>
      <w:p>
        <w:pPr>
          <w:pStyle w:val="Header"/>
          <w:jc w:val="center"/>
          <w:rPr/>
        </w:pPr>
        <w:r>
          <w:rPr/>
          <w:fldChar w:fldCharType="begin"/>
        </w:r>
        <w:r>
          <w:rPr/>
          <w:instrText xml:space="preserve"> PAGE </w:instrText>
        </w:r>
        <w:r>
          <w:rPr/>
          <w:fldChar w:fldCharType="separate"/>
        </w:r>
        <w:r>
          <w:rPr/>
          <w:t>27</w:t>
        </w:r>
        <w:r>
          <w:rPr/>
          <w:fldChar w:fldCharType="end"/>
        </w:r>
      </w:p>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67912323"/>
    </w:sdtPr>
    <w:sdtContent>
      <w:p>
        <w:pPr>
          <w:pStyle w:val="Header"/>
          <w:jc w:val="center"/>
          <w:rPr/>
        </w:pPr>
        <w:r>
          <w:rPr/>
          <w:fldChar w:fldCharType="begin"/>
        </w:r>
        <w:r>
          <w:rPr/>
          <w:instrText xml:space="preserve"> PAGE </w:instrText>
        </w:r>
        <w:r>
          <w:rPr/>
          <w:fldChar w:fldCharType="separate"/>
        </w:r>
        <w:r>
          <w:rPr/>
          <w:t>2</w:t>
        </w:r>
        <w:r>
          <w:rPr/>
          <w:fldChar w:fldCharType="end"/>
        </w:r>
      </w:p>
      <w:p>
        <w:pPr>
          <w:pStyle w:val="Header"/>
          <w:rPr/>
        </w:pPr>
        <w:r>
          <w:rPr/>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71ae"/>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4a71ae"/>
    <w:rPr>
      <w:rFonts w:ascii="Tahoma" w:hAnsi="Tahoma" w:cs="Tahoma"/>
      <w:sz w:val="16"/>
      <w:szCs w:val="16"/>
      <w:lang w:eastAsia="ru-RU"/>
    </w:rPr>
  </w:style>
  <w:style w:type="character" w:styleId="Style15" w:customStyle="1">
    <w:name w:val="Верхний колонтитул Знак"/>
    <w:basedOn w:val="DefaultParagraphFont"/>
    <w:uiPriority w:val="99"/>
    <w:qFormat/>
    <w:rsid w:val="00ec75f0"/>
    <w:rPr>
      <w:sz w:val="24"/>
      <w:szCs w:val="24"/>
      <w:lang w:eastAsia="ru-RU"/>
    </w:rPr>
  </w:style>
  <w:style w:type="character" w:styleId="Style16" w:customStyle="1">
    <w:name w:val="Нижний колонтитул Знак"/>
    <w:basedOn w:val="DefaultParagraphFont"/>
    <w:uiPriority w:val="99"/>
    <w:qFormat/>
    <w:rsid w:val="00ec75f0"/>
    <w:rPr>
      <w:sz w:val="24"/>
      <w:szCs w:val="24"/>
      <w:lang w:eastAsia="ru-RU"/>
    </w:rPr>
  </w:style>
  <w:style w:type="character" w:styleId="Hyperlink">
    <w:name w:val="Hyperlink"/>
    <w:rPr>
      <w:color w:val="000080"/>
      <w:u w:val="single"/>
    </w:rPr>
  </w:style>
  <w:style w:type="paragraph" w:styleId="Style17">
    <w:name w:val="Заголовок"/>
    <w:basedOn w:val="Normal"/>
    <w:next w:val="BodyText"/>
    <w:qFormat/>
    <w:pPr>
      <w:keepNext w:val="true"/>
      <w:spacing w:before="240" w:after="120"/>
    </w:pPr>
    <w:rPr>
      <w:rFonts w:ascii="Times New Roman" w:hAnsi="Times New Roman"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Style18">
    <w:name w:val="Указатель"/>
    <w:basedOn w:val="Normal"/>
    <w:qFormat/>
    <w:pPr>
      <w:suppressLineNumbers/>
    </w:pPr>
    <w:rPr>
      <w:rFonts w:ascii="Times New Roman" w:hAnsi="Times New Roman" w:cs="Arial Unicode MS"/>
    </w:rPr>
  </w:style>
  <w:style w:type="paragraph" w:styleId="BalloonText">
    <w:name w:val="Balloon Text"/>
    <w:basedOn w:val="Normal"/>
    <w:link w:val="Style14"/>
    <w:uiPriority w:val="99"/>
    <w:semiHidden/>
    <w:unhideWhenUsed/>
    <w:qFormat/>
    <w:rsid w:val="004a71ae"/>
    <w:pPr/>
    <w:rPr>
      <w:rFonts w:ascii="Tahoma" w:hAnsi="Tahoma" w:cs="Tahoma"/>
      <w:sz w:val="16"/>
      <w:szCs w:val="16"/>
    </w:rPr>
  </w:style>
  <w:style w:type="paragraph" w:styleId="ConsPlusNormal" w:customStyle="1">
    <w:name w:val="ConsPlusNormal"/>
    <w:qFormat/>
    <w:rsid w:val="004a71ae"/>
    <w:pPr>
      <w:widowControl w:val="false"/>
      <w:bidi w:val="0"/>
      <w:spacing w:before="0" w:after="0"/>
      <w:jc w:val="left"/>
    </w:pPr>
    <w:rPr>
      <w:rFonts w:ascii="Arial" w:hAnsi="Arial" w:eastAsia="" w:cs="Arial" w:eastAsiaTheme="minorEastAsia"/>
      <w:color w:val="auto"/>
      <w:kern w:val="0"/>
      <w:sz w:val="20"/>
      <w:szCs w:val="20"/>
      <w:lang w:eastAsia="ru-RU" w:val="ru-RU" w:bidi="ar-SA"/>
    </w:rPr>
  </w:style>
  <w:style w:type="paragraph" w:styleId="ConsPlusNonformat" w:customStyle="1">
    <w:name w:val="ConsPlusNonformat"/>
    <w:uiPriority w:val="99"/>
    <w:qFormat/>
    <w:rsid w:val="004a71ae"/>
    <w:pPr>
      <w:widowControl w:val="false"/>
      <w:bidi w:val="0"/>
      <w:spacing w:before="0" w:after="0"/>
      <w:jc w:val="left"/>
    </w:pPr>
    <w:rPr>
      <w:rFonts w:ascii="Courier New" w:hAnsi="Courier New" w:eastAsia="" w:cs="Courier New" w:eastAsiaTheme="minorEastAsia"/>
      <w:color w:val="auto"/>
      <w:kern w:val="0"/>
      <w:sz w:val="20"/>
      <w:szCs w:val="20"/>
      <w:lang w:eastAsia="ru-RU" w:val="ru-RU" w:bidi="ar-SA"/>
    </w:rPr>
  </w:style>
  <w:style w:type="paragraph" w:styleId="ConsPlusTitle" w:customStyle="1">
    <w:name w:val="ConsPlusTitle"/>
    <w:uiPriority w:val="99"/>
    <w:qFormat/>
    <w:rsid w:val="004a71ae"/>
    <w:pPr>
      <w:widowControl w:val="false"/>
      <w:bidi w:val="0"/>
      <w:spacing w:before="0" w:after="0"/>
      <w:jc w:val="left"/>
    </w:pPr>
    <w:rPr>
      <w:rFonts w:ascii="Arial" w:hAnsi="Arial" w:eastAsia="" w:cs="Arial" w:eastAsiaTheme="minorEastAsia"/>
      <w:b/>
      <w:bCs/>
      <w:color w:val="auto"/>
      <w:kern w:val="0"/>
      <w:sz w:val="20"/>
      <w:szCs w:val="20"/>
      <w:lang w:eastAsia="ru-RU" w:val="ru-RU" w:bidi="ar-SA"/>
    </w:rPr>
  </w:style>
  <w:style w:type="paragraph" w:styleId="Style19">
    <w:name w:val="Колонтитул"/>
    <w:basedOn w:val="Normal"/>
    <w:qFormat/>
    <w:pPr/>
    <w:rPr/>
  </w:style>
  <w:style w:type="paragraph" w:styleId="Header">
    <w:name w:val="Header"/>
    <w:basedOn w:val="Normal"/>
    <w:link w:val="Style15"/>
    <w:uiPriority w:val="99"/>
    <w:unhideWhenUsed/>
    <w:rsid w:val="00ec75f0"/>
    <w:pPr>
      <w:tabs>
        <w:tab w:val="clear" w:pos="708"/>
        <w:tab w:val="center" w:pos="4677" w:leader="none"/>
        <w:tab w:val="right" w:pos="9355" w:leader="none"/>
      </w:tabs>
    </w:pPr>
    <w:rPr/>
  </w:style>
  <w:style w:type="paragraph" w:styleId="Footer">
    <w:name w:val="Footer"/>
    <w:basedOn w:val="Normal"/>
    <w:link w:val="Style16"/>
    <w:uiPriority w:val="99"/>
    <w:unhideWhenUsed/>
    <w:rsid w:val="00ec75f0"/>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C242C80DE6FE1EA58654FB4B03D143C0FD6253BD3C257CC6848034D630979E3A65F01B81F165EF0993AF66ABEC9B5B0C9E9DCC4E1B0D4F08K4ZEL" TargetMode="External"/><Relationship Id="rId4" Type="http://schemas.openxmlformats.org/officeDocument/2006/relationships/hyperlink" Target="consultantplus://offline/ref=C242C80DE6FE1EA58654E54615BD1DCAFF6908B839267297D0DF6F8B679E946D22BF42C3B569EC0C93A435FEA39A074ACD8ECE4D1B0F4A144E3E6EK6Z4L" TargetMode="External"/><Relationship Id="rId5" Type="http://schemas.openxmlformats.org/officeDocument/2006/relationships/hyperlink" Target="./&#1055;&#1088;&#1080;&#1074;&#1086;&#1083;&#1078;&#1089;&#1082;&#1086;&#1084;&#1091;" TargetMode="External"/><Relationship Id="rId6" Type="http://schemas.openxmlformats.org/officeDocument/2006/relationships/hyperlink" Target="./01.05.2022)%7B&#1050;&#1086;&#1085;&#1089;&#1091;&#1083;&#1100;&#1090;&#1072;&#1085;&#1090;&#1055;&#1083;&#1102;&#1089;%7D" TargetMode="External"/><Relationship Id="rId7" Type="http://schemas.openxmlformats.org/officeDocument/2006/relationships/hyperlink" Target="consultantplus://offline/ref=DF0AC78D7445B8B2A6601EFFD35AB51B7790ABCDAEB1F68FFED7CEC8B02D3CCE70ABF35CE56C3F8B7F4A50CBBB785890tB4AL" TargetMode="External"/><Relationship Id="rId8" Type="http://schemas.openxmlformats.org/officeDocument/2006/relationships/hyperlink" Target="consultantplus://offline/ref=DF0AC78D7445B8B2A66000F2C536EB11759AF3C2ADB1F8DEAB889595E724369925E4F200A33F2C897C4A52CEA7t748L" TargetMode="External"/><Relationship Id="rId9" Type="http://schemas.openxmlformats.org/officeDocument/2006/relationships/hyperlink" Target="consultantplus://offline/ref=DF0AC78D7445B8B2A66000F2C536EB11739BF4C8AAB0F8DEAB889595E724369925E4F200A33F2C897C4A52CEA7t748L" TargetMode="External"/><Relationship Id="rId10" Type="http://schemas.openxmlformats.org/officeDocument/2006/relationships/hyperlink" Target="consultantplus://offline/ref=DF0AC78D7445B8B2A6601EFFD35AB51B7790ABCDAEB1F68FFED7CEC8B02D3CCE70ABF35CE56C3F8B7F4A50CBBB785890tB4AL" TargetMode="External"/><Relationship Id="rId11" Type="http://schemas.openxmlformats.org/officeDocument/2006/relationships/hyperlink" Target="consultantplus://offline/ref=DF0AC78D7445B8B2A66000F2C536EB11759AF3C2ADB1F8DEAB889595E724369937E4AA0CA139318C785F049FE12F5590BEC8913D6A522CD7t14FL" TargetMode="External"/><Relationship Id="rId12" Type="http://schemas.openxmlformats.org/officeDocument/2006/relationships/hyperlink" Target="consultantplus://offline/ref=DF0AC78D7445B8B2A6601EFFD35AB51B7790ABCDAEB1F68FFED7CEC8B02D3CCE70ABF35CE56C3F8B7F4A50CBBB785890tB4AL" TargetMode="External"/><Relationship Id="rId13" Type="http://schemas.openxmlformats.org/officeDocument/2006/relationships/hyperlink" Target="consultantplus://offline/ref=DF0AC78D7445B8B2A66000F2C536EB11759AF1C0ADB7F8DEAB889595E724369937E4AA0CA1393381715F049FE12F5590BEC8913D6A522CD7t14FL" TargetMode="External"/><Relationship Id="rId14" Type="http://schemas.openxmlformats.org/officeDocument/2006/relationships/hyperlink" Target="consultantplus://offline/ref=DF0AC78D7445B8B2A66000F2C536EB11759AF3C2ADB1F8DEAB889595E724369937E4AA0CA13830817E5F049FE12F5590BEC8913D6A522CD7t14FL" TargetMode="External"/><Relationship Id="rId15" Type="http://schemas.openxmlformats.org/officeDocument/2006/relationships/hyperlink" Target="consultantplus://offline/ref=A9B2F87D0AF25A9F7DB4BCBEA75DE8D201251C4CFB322841624696887090A32776F9B40011FFABBFF150E1A92CCFF13AC7CE24B588CFB119P1H3M" TargetMode="External"/><Relationship Id="rId16" Type="http://schemas.openxmlformats.org/officeDocument/2006/relationships/hyperlink" Target="consultantplus://offline/ref=A9B2F87D0AF25A9F7DB4BCBEA75DE8D201251C4CFB322841624696887090A32776F9B40011FFABBFF150E1A92CCFF13AC7CE24B588CFB119P1H3M" TargetMode="External"/><Relationship Id="rId17" Type="http://schemas.openxmlformats.org/officeDocument/2006/relationships/hyperlink" Target="consultantplus://offline/ref=A9B2F87D0AF25A9F7DB4BCBEA75DE8D201251C4CFB322841624696887090A32776F9B40011FFABB0FC50E1A92CCFF13AC7CE24B588CFB119P1H3M" TargetMode="External"/><Relationship Id="rId18" Type="http://schemas.openxmlformats.org/officeDocument/2006/relationships/hyperlink" Target="./01.01.2022)%7B&#1050;&#1086;&#1085;&#1089;&#1091;&#1083;&#1100;&#1090;&#1072;&#1085;&#1090;&#1055;&#1083;&#1102;&#1089;%7D" TargetMode="External"/><Relationship Id="rId19" Type="http://schemas.openxmlformats.org/officeDocument/2006/relationships/hyperlink" Target="./01.01.2022)%7B&#1050;&#1086;&#1085;&#1089;&#1091;&#1083;&#1100;&#1090;&#1072;&#1085;&#1090;&#1055;&#1083;&#1102;&#1089;%7D" TargetMode="External"/><Relationship Id="rId20" Type="http://schemas.openxmlformats.org/officeDocument/2006/relationships/hyperlink" Target="./01.05.2022)%7B&#1050;&#1086;&#1085;&#1089;&#1091;&#1083;&#1100;&#1090;&#1072;&#1085;&#1090;&#1055;&#1083;&#1102;&#1089;%7D" TargetMode="External"/><Relationship Id="rId21" Type="http://schemas.openxmlformats.org/officeDocument/2006/relationships/hyperlink" Target="./01.01.2022)%7B&#1050;&#1086;&#1085;&#1089;&#1091;&#1083;&#1100;&#1090;&#1072;&#1085;&#1090;&#1055;&#1083;&#1102;&#1089;%7D" TargetMode="External"/><Relationship Id="rId22" Type="http://schemas.openxmlformats.org/officeDocument/2006/relationships/hyperlink" Target="./(&#1076;&#1072;&#1083;&#1077;" TargetMode="External"/><Relationship Id="rId23" Type="http://schemas.openxmlformats.org/officeDocument/2006/relationships/hyperlink" Target="./24.02.2011)%7B&#1050;&#1086;&#1085;&#1089;&#1091;&#1083;&#1100;&#1090;&#1072;&#1085;&#1090;&#1055;&#1083;&#1102;&#1089;%7D" TargetMode="External"/><Relationship Id="rId24" Type="http://schemas.openxmlformats.org/officeDocument/2006/relationships/hyperlink" Target="./01.05.2022)%7B&#1050;&#1086;&#1085;&#1089;&#1091;&#1083;&#1100;&#1090;&#1072;&#1085;&#1090;&#1055;&#1083;&#1102;&#1089;%7D" TargetMode="External"/><Relationship Id="rId25" Type="http://schemas.openxmlformats.org/officeDocument/2006/relationships/header" Target="header1.xml"/><Relationship Id="rId26" Type="http://schemas.openxmlformats.org/officeDocument/2006/relationships/hyperlink" Target="./01.05.2022)%7B&#1050;&#1086;&#1085;&#1089;&#1091;&#1083;&#1100;&#1090;&#1072;&#1085;&#1090;&#1055;&#1083;&#1102;&#1089;%7D" TargetMode="External"/><Relationship Id="rId27" Type="http://schemas.openxmlformats.org/officeDocument/2006/relationships/hyperlink" Target="./01.05.2022)%7B&#1050;&#1086;&#1085;&#1089;&#1091;&#1083;&#1100;&#1090;&#1072;&#1085;&#1090;&#1055;&#1083;&#1102;&#1089;%7D" TargetMode="External"/><Relationship Id="rId28" Type="http://schemas.openxmlformats.org/officeDocument/2006/relationships/hyperlink" Target="consultantplus://offline/ref=C242C80DE6FE1EA58654E54615BD1DCAFF6908B839267297D0DF6F8B679E946D22BF42D1B531E00E95BA32FFB6CC560CK9ZAL" TargetMode="External"/><Relationship Id="rId29" Type="http://schemas.openxmlformats.org/officeDocument/2006/relationships/header" Target="header2.xml"/><Relationship Id="rId30" Type="http://schemas.openxmlformats.org/officeDocument/2006/relationships/header" Target="header3.xml"/><Relationship Id="rId31" Type="http://schemas.openxmlformats.org/officeDocument/2006/relationships/hyperlink" Target="./01.05.2022)%7B&#1050;&#1086;&#1085;&#1089;&#1091;&#1083;&#1100;&#1090;&#1072;&#1085;&#1090;&#1055;&#1083;&#1102;&#1089;%7D" TargetMode="External"/><Relationship Id="rId32" Type="http://schemas.openxmlformats.org/officeDocument/2006/relationships/header" Target="header4.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LibreOffice/7.6.2.1$Windows_X86_64 LibreOffice_project/56f7684011345957bbf33a7ee678afaf4d2ba333</Application>
  <AppVersion>15.0000</AppVersion>
  <Pages>30</Pages>
  <Words>523</Words>
  <Characters>4025</Characters>
  <CharactersWithSpaces>5243</CharactersWithSpaces>
  <Paragraphs>56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2022-07-14T10:11:00Z</dcterms:created>
  <dc:creator>user</dc:creator>
  <dc:description/>
  <dc:language>ru-RU</dc:language>
  <cp:lastModifiedBy/>
  <cp:lastPrinted>2022-07-14T10:10:00Z</cp:lastPrinted>
  <dcterms:modified xsi:type="dcterms:W3CDTF">2023-11-22T10:04:09Z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